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3A7" w:rsidRDefault="004163A7" w:rsidP="00A65E85">
      <w:pPr>
        <w:pStyle w:val="Default"/>
        <w:snapToGrid w:val="0"/>
        <w:spacing w:after="120"/>
        <w:jc w:val="center"/>
        <w:rPr>
          <w:rFonts w:asciiTheme="minorHAnsi" w:hAnsiTheme="minorHAnsi"/>
          <w:b/>
          <w:bCs/>
          <w:sz w:val="32"/>
          <w:szCs w:val="32"/>
        </w:rPr>
      </w:pPr>
    </w:p>
    <w:p w:rsidR="004163A7" w:rsidRDefault="004163A7" w:rsidP="00A65E85">
      <w:pPr>
        <w:pStyle w:val="Default"/>
        <w:snapToGrid w:val="0"/>
        <w:spacing w:after="120"/>
        <w:jc w:val="center"/>
        <w:rPr>
          <w:rFonts w:asciiTheme="minorHAnsi" w:hAnsiTheme="minorHAnsi"/>
          <w:b/>
          <w:bCs/>
          <w:sz w:val="32"/>
          <w:szCs w:val="32"/>
        </w:rPr>
      </w:pPr>
    </w:p>
    <w:p w:rsidR="004163A7" w:rsidRDefault="004163A7" w:rsidP="00A65E85">
      <w:pPr>
        <w:pStyle w:val="Default"/>
        <w:snapToGrid w:val="0"/>
        <w:spacing w:after="120"/>
        <w:jc w:val="center"/>
        <w:rPr>
          <w:rFonts w:asciiTheme="minorHAnsi" w:hAnsiTheme="minorHAnsi"/>
          <w:b/>
          <w:bCs/>
          <w:sz w:val="32"/>
          <w:szCs w:val="32"/>
        </w:rPr>
      </w:pPr>
    </w:p>
    <w:p w:rsidR="004163A7" w:rsidRDefault="004163A7" w:rsidP="00A65E85">
      <w:pPr>
        <w:pStyle w:val="Default"/>
        <w:snapToGrid w:val="0"/>
        <w:spacing w:after="120"/>
        <w:jc w:val="center"/>
        <w:rPr>
          <w:rFonts w:asciiTheme="minorHAnsi" w:hAnsiTheme="minorHAnsi"/>
          <w:b/>
          <w:bCs/>
          <w:sz w:val="32"/>
          <w:szCs w:val="32"/>
        </w:rPr>
      </w:pPr>
      <w:bookmarkStart w:id="0" w:name="_GoBack"/>
      <w:bookmarkEnd w:id="0"/>
    </w:p>
    <w:p w:rsidR="00D052F7" w:rsidRPr="00C9676E" w:rsidRDefault="00D052F7" w:rsidP="00A65E85">
      <w:pPr>
        <w:pStyle w:val="Default"/>
        <w:snapToGrid w:val="0"/>
        <w:spacing w:after="120"/>
        <w:jc w:val="center"/>
        <w:rPr>
          <w:rFonts w:asciiTheme="minorHAnsi" w:hAnsiTheme="minorHAnsi"/>
          <w:sz w:val="32"/>
          <w:szCs w:val="32"/>
        </w:rPr>
      </w:pPr>
      <w:r w:rsidRPr="00C9676E">
        <w:rPr>
          <w:rFonts w:asciiTheme="minorHAnsi" w:hAnsiTheme="minorHAnsi"/>
          <w:b/>
          <w:bCs/>
          <w:sz w:val="32"/>
          <w:szCs w:val="32"/>
        </w:rPr>
        <w:t>Financial Markets Conduct (</w:t>
      </w:r>
      <w:r w:rsidR="0006202A">
        <w:rPr>
          <w:rFonts w:asciiTheme="minorHAnsi" w:hAnsiTheme="minorHAnsi"/>
          <w:b/>
          <w:bCs/>
          <w:sz w:val="32"/>
          <w:szCs w:val="32"/>
        </w:rPr>
        <w:t>Shares in Investment Companies</w:t>
      </w:r>
      <w:r w:rsidR="004A4F24">
        <w:rPr>
          <w:rFonts w:asciiTheme="minorHAnsi" w:hAnsiTheme="minorHAnsi"/>
          <w:b/>
          <w:bCs/>
          <w:sz w:val="32"/>
          <w:szCs w:val="32"/>
        </w:rPr>
        <w:t>) Designation Notice 2017</w:t>
      </w:r>
    </w:p>
    <w:p w:rsidR="00D052F7" w:rsidRPr="00C9676E" w:rsidRDefault="00D052F7" w:rsidP="00C9676E">
      <w:pPr>
        <w:pStyle w:val="Default"/>
        <w:snapToGrid w:val="0"/>
        <w:spacing w:after="120"/>
        <w:jc w:val="both"/>
        <w:rPr>
          <w:rFonts w:asciiTheme="minorHAnsi" w:hAnsiTheme="minorHAnsi"/>
          <w:sz w:val="22"/>
          <w:szCs w:val="22"/>
        </w:rPr>
      </w:pPr>
      <w:r w:rsidRPr="00C9676E">
        <w:rPr>
          <w:rFonts w:asciiTheme="minorHAnsi" w:hAnsiTheme="minorHAnsi"/>
          <w:sz w:val="22"/>
          <w:szCs w:val="22"/>
        </w:rPr>
        <w:t xml:space="preserve">Pursuant to section 562 of the Financial Markets Conduct Act 2013, the Financial Markets Authority, </w:t>
      </w:r>
      <w:r w:rsidR="007167FA">
        <w:rPr>
          <w:rFonts w:asciiTheme="minorHAnsi" w:hAnsiTheme="minorHAnsi"/>
          <w:sz w:val="22"/>
          <w:szCs w:val="22"/>
        </w:rPr>
        <w:t>having complied with the requirements</w:t>
      </w:r>
      <w:r w:rsidRPr="00C9676E">
        <w:rPr>
          <w:rFonts w:asciiTheme="minorHAnsi" w:hAnsiTheme="minorHAnsi"/>
          <w:sz w:val="22"/>
          <w:szCs w:val="22"/>
        </w:rPr>
        <w:t xml:space="preserve"> set out in section 563 of that Act, gives the following notice.</w:t>
      </w:r>
    </w:p>
    <w:p w:rsidR="00C9676E" w:rsidRPr="0003167C" w:rsidRDefault="00C9676E" w:rsidP="003C36CF">
      <w:pPr>
        <w:spacing w:before="240"/>
        <w:jc w:val="center"/>
        <w:rPr>
          <w:b/>
          <w:sz w:val="28"/>
          <w:szCs w:val="28"/>
        </w:rPr>
      </w:pPr>
      <w:r w:rsidRPr="0003167C">
        <w:rPr>
          <w:b/>
          <w:sz w:val="28"/>
          <w:szCs w:val="28"/>
        </w:rPr>
        <w:t>Contents</w:t>
      </w:r>
    </w:p>
    <w:p w:rsidR="00562D22" w:rsidRDefault="00C9676E" w:rsidP="003C36CF">
      <w:pPr>
        <w:jc w:val="right"/>
        <w:rPr>
          <w:noProof/>
        </w:rPr>
      </w:pPr>
      <w:r w:rsidRPr="0003167C">
        <w:rPr>
          <w:szCs w:val="28"/>
        </w:rPr>
        <w:t>Page</w:t>
      </w:r>
      <w:r w:rsidR="005C3D81">
        <w:rPr>
          <w:szCs w:val="28"/>
        </w:rPr>
        <w:fldChar w:fldCharType="begin"/>
      </w:r>
      <w:r w:rsidR="005C3D81">
        <w:rPr>
          <w:szCs w:val="28"/>
        </w:rPr>
        <w:instrText xml:space="preserve"> TOC \o "1-1" \h \z \u </w:instrText>
      </w:r>
      <w:r w:rsidR="005C3D81">
        <w:rPr>
          <w:szCs w:val="28"/>
        </w:rPr>
        <w:fldChar w:fldCharType="separate"/>
      </w:r>
    </w:p>
    <w:p w:rsidR="00562D22" w:rsidRDefault="00DB5708">
      <w:pPr>
        <w:pStyle w:val="TOC1"/>
        <w:rPr>
          <w:rFonts w:asciiTheme="minorHAnsi" w:hAnsiTheme="minorHAnsi" w:cstheme="minorBidi"/>
          <w:noProof/>
          <w:color w:val="auto"/>
          <w:szCs w:val="22"/>
          <w:lang w:eastAsia="en-NZ"/>
        </w:rPr>
      </w:pPr>
      <w:hyperlink w:anchor="_Toc473296201" w:history="1">
        <w:r w:rsidR="00562D22" w:rsidRPr="00570192">
          <w:rPr>
            <w:rStyle w:val="Hyperlink"/>
            <w:noProof/>
          </w:rPr>
          <w:t>1.</w:t>
        </w:r>
        <w:r w:rsidR="00562D22">
          <w:rPr>
            <w:rFonts w:asciiTheme="minorHAnsi" w:hAnsiTheme="minorHAnsi" w:cstheme="minorBidi"/>
            <w:noProof/>
            <w:color w:val="auto"/>
            <w:szCs w:val="22"/>
            <w:lang w:eastAsia="en-NZ"/>
          </w:rPr>
          <w:tab/>
        </w:r>
        <w:r w:rsidR="00562D22" w:rsidRPr="00570192">
          <w:rPr>
            <w:rStyle w:val="Hyperlink"/>
            <w:noProof/>
          </w:rPr>
          <w:t>Title</w:t>
        </w:r>
        <w:r w:rsidR="00562D22">
          <w:rPr>
            <w:noProof/>
            <w:webHidden/>
          </w:rPr>
          <w:tab/>
        </w:r>
        <w:r w:rsidR="00562D22">
          <w:rPr>
            <w:noProof/>
            <w:webHidden/>
          </w:rPr>
          <w:fldChar w:fldCharType="begin"/>
        </w:r>
        <w:r w:rsidR="00562D22">
          <w:rPr>
            <w:noProof/>
            <w:webHidden/>
          </w:rPr>
          <w:instrText xml:space="preserve"> PAGEREF _Toc473296201 \h </w:instrText>
        </w:r>
        <w:r w:rsidR="00562D22">
          <w:rPr>
            <w:noProof/>
            <w:webHidden/>
          </w:rPr>
        </w:r>
        <w:r w:rsidR="00562D22">
          <w:rPr>
            <w:noProof/>
            <w:webHidden/>
          </w:rPr>
          <w:fldChar w:fldCharType="separate"/>
        </w:r>
        <w:r w:rsidR="00562D22">
          <w:rPr>
            <w:noProof/>
            <w:webHidden/>
          </w:rPr>
          <w:t>1</w:t>
        </w:r>
        <w:r w:rsidR="00562D22">
          <w:rPr>
            <w:noProof/>
            <w:webHidden/>
          </w:rPr>
          <w:fldChar w:fldCharType="end"/>
        </w:r>
      </w:hyperlink>
    </w:p>
    <w:p w:rsidR="00562D22" w:rsidRDefault="00DB5708">
      <w:pPr>
        <w:pStyle w:val="TOC1"/>
        <w:rPr>
          <w:rFonts w:asciiTheme="minorHAnsi" w:hAnsiTheme="minorHAnsi" w:cstheme="minorBidi"/>
          <w:noProof/>
          <w:color w:val="auto"/>
          <w:szCs w:val="22"/>
          <w:lang w:eastAsia="en-NZ"/>
        </w:rPr>
      </w:pPr>
      <w:hyperlink w:anchor="_Toc473296202" w:history="1">
        <w:r w:rsidR="00562D22" w:rsidRPr="00570192">
          <w:rPr>
            <w:rStyle w:val="Hyperlink"/>
            <w:noProof/>
          </w:rPr>
          <w:t>2.</w:t>
        </w:r>
        <w:r w:rsidR="00562D22">
          <w:rPr>
            <w:rFonts w:asciiTheme="minorHAnsi" w:hAnsiTheme="minorHAnsi" w:cstheme="minorBidi"/>
            <w:noProof/>
            <w:color w:val="auto"/>
            <w:szCs w:val="22"/>
            <w:lang w:eastAsia="en-NZ"/>
          </w:rPr>
          <w:tab/>
        </w:r>
        <w:r w:rsidR="00562D22" w:rsidRPr="00570192">
          <w:rPr>
            <w:rStyle w:val="Hyperlink"/>
            <w:noProof/>
          </w:rPr>
          <w:t>Commencement</w:t>
        </w:r>
        <w:r w:rsidR="00562D22">
          <w:rPr>
            <w:noProof/>
            <w:webHidden/>
          </w:rPr>
          <w:tab/>
        </w:r>
        <w:r w:rsidR="00562D22">
          <w:rPr>
            <w:noProof/>
            <w:webHidden/>
          </w:rPr>
          <w:fldChar w:fldCharType="begin"/>
        </w:r>
        <w:r w:rsidR="00562D22">
          <w:rPr>
            <w:noProof/>
            <w:webHidden/>
          </w:rPr>
          <w:instrText xml:space="preserve"> PAGEREF _Toc473296202 \h </w:instrText>
        </w:r>
        <w:r w:rsidR="00562D22">
          <w:rPr>
            <w:noProof/>
            <w:webHidden/>
          </w:rPr>
        </w:r>
        <w:r w:rsidR="00562D22">
          <w:rPr>
            <w:noProof/>
            <w:webHidden/>
          </w:rPr>
          <w:fldChar w:fldCharType="separate"/>
        </w:r>
        <w:r w:rsidR="00562D22">
          <w:rPr>
            <w:noProof/>
            <w:webHidden/>
          </w:rPr>
          <w:t>1</w:t>
        </w:r>
        <w:r w:rsidR="00562D22">
          <w:rPr>
            <w:noProof/>
            <w:webHidden/>
          </w:rPr>
          <w:fldChar w:fldCharType="end"/>
        </w:r>
      </w:hyperlink>
    </w:p>
    <w:p w:rsidR="00562D22" w:rsidRDefault="00DB5708">
      <w:pPr>
        <w:pStyle w:val="TOC1"/>
        <w:rPr>
          <w:rFonts w:asciiTheme="minorHAnsi" w:hAnsiTheme="minorHAnsi" w:cstheme="minorBidi"/>
          <w:noProof/>
          <w:color w:val="auto"/>
          <w:szCs w:val="22"/>
          <w:lang w:eastAsia="en-NZ"/>
        </w:rPr>
      </w:pPr>
      <w:hyperlink w:anchor="_Toc473296203" w:history="1">
        <w:r w:rsidR="00562D22" w:rsidRPr="00570192">
          <w:rPr>
            <w:rStyle w:val="Hyperlink"/>
            <w:noProof/>
          </w:rPr>
          <w:t>3.</w:t>
        </w:r>
        <w:r w:rsidR="00562D22">
          <w:rPr>
            <w:rFonts w:asciiTheme="minorHAnsi" w:hAnsiTheme="minorHAnsi" w:cstheme="minorBidi"/>
            <w:noProof/>
            <w:color w:val="auto"/>
            <w:szCs w:val="22"/>
            <w:lang w:eastAsia="en-NZ"/>
          </w:rPr>
          <w:tab/>
        </w:r>
        <w:r w:rsidR="00562D22" w:rsidRPr="00570192">
          <w:rPr>
            <w:rStyle w:val="Hyperlink"/>
            <w:noProof/>
          </w:rPr>
          <w:t>Interpretation</w:t>
        </w:r>
        <w:r w:rsidR="00562D22">
          <w:rPr>
            <w:noProof/>
            <w:webHidden/>
          </w:rPr>
          <w:tab/>
        </w:r>
        <w:r w:rsidR="00562D22">
          <w:rPr>
            <w:noProof/>
            <w:webHidden/>
          </w:rPr>
          <w:fldChar w:fldCharType="begin"/>
        </w:r>
        <w:r w:rsidR="00562D22">
          <w:rPr>
            <w:noProof/>
            <w:webHidden/>
          </w:rPr>
          <w:instrText xml:space="preserve"> PAGEREF _Toc473296203 \h </w:instrText>
        </w:r>
        <w:r w:rsidR="00562D22">
          <w:rPr>
            <w:noProof/>
            <w:webHidden/>
          </w:rPr>
        </w:r>
        <w:r w:rsidR="00562D22">
          <w:rPr>
            <w:noProof/>
            <w:webHidden/>
          </w:rPr>
          <w:fldChar w:fldCharType="separate"/>
        </w:r>
        <w:r w:rsidR="00562D22">
          <w:rPr>
            <w:noProof/>
            <w:webHidden/>
          </w:rPr>
          <w:t>1</w:t>
        </w:r>
        <w:r w:rsidR="00562D22">
          <w:rPr>
            <w:noProof/>
            <w:webHidden/>
          </w:rPr>
          <w:fldChar w:fldCharType="end"/>
        </w:r>
      </w:hyperlink>
    </w:p>
    <w:p w:rsidR="00562D22" w:rsidRDefault="00DB5708">
      <w:pPr>
        <w:pStyle w:val="TOC1"/>
        <w:rPr>
          <w:rFonts w:asciiTheme="minorHAnsi" w:hAnsiTheme="minorHAnsi" w:cstheme="minorBidi"/>
          <w:noProof/>
          <w:color w:val="auto"/>
          <w:szCs w:val="22"/>
          <w:lang w:eastAsia="en-NZ"/>
        </w:rPr>
      </w:pPr>
      <w:hyperlink w:anchor="_Toc473296204" w:history="1">
        <w:r w:rsidR="00562D22" w:rsidRPr="00570192">
          <w:rPr>
            <w:rStyle w:val="Hyperlink"/>
            <w:noProof/>
          </w:rPr>
          <w:t>4.</w:t>
        </w:r>
        <w:r w:rsidR="00562D22">
          <w:rPr>
            <w:rFonts w:asciiTheme="minorHAnsi" w:hAnsiTheme="minorHAnsi" w:cstheme="minorBidi"/>
            <w:noProof/>
            <w:color w:val="auto"/>
            <w:szCs w:val="22"/>
            <w:lang w:eastAsia="en-NZ"/>
          </w:rPr>
          <w:tab/>
        </w:r>
        <w:r w:rsidR="00562D22" w:rsidRPr="00570192">
          <w:rPr>
            <w:rStyle w:val="Hyperlink"/>
            <w:noProof/>
          </w:rPr>
          <w:t>Designations</w:t>
        </w:r>
        <w:r w:rsidR="00562D22">
          <w:rPr>
            <w:noProof/>
            <w:webHidden/>
          </w:rPr>
          <w:tab/>
        </w:r>
        <w:r w:rsidR="00562D22">
          <w:rPr>
            <w:noProof/>
            <w:webHidden/>
          </w:rPr>
          <w:fldChar w:fldCharType="begin"/>
        </w:r>
        <w:r w:rsidR="00562D22">
          <w:rPr>
            <w:noProof/>
            <w:webHidden/>
          </w:rPr>
          <w:instrText xml:space="preserve"> PAGEREF _Toc473296204 \h </w:instrText>
        </w:r>
        <w:r w:rsidR="00562D22">
          <w:rPr>
            <w:noProof/>
            <w:webHidden/>
          </w:rPr>
        </w:r>
        <w:r w:rsidR="00562D22">
          <w:rPr>
            <w:noProof/>
            <w:webHidden/>
          </w:rPr>
          <w:fldChar w:fldCharType="separate"/>
        </w:r>
        <w:r w:rsidR="00562D22">
          <w:rPr>
            <w:noProof/>
            <w:webHidden/>
          </w:rPr>
          <w:t>2</w:t>
        </w:r>
        <w:r w:rsidR="00562D22">
          <w:rPr>
            <w:noProof/>
            <w:webHidden/>
          </w:rPr>
          <w:fldChar w:fldCharType="end"/>
        </w:r>
      </w:hyperlink>
    </w:p>
    <w:p w:rsidR="00562D22" w:rsidRDefault="00DB5708">
      <w:pPr>
        <w:pStyle w:val="TOC1"/>
        <w:rPr>
          <w:rFonts w:asciiTheme="minorHAnsi" w:hAnsiTheme="minorHAnsi" w:cstheme="minorBidi"/>
          <w:noProof/>
          <w:color w:val="auto"/>
          <w:szCs w:val="22"/>
          <w:lang w:eastAsia="en-NZ"/>
        </w:rPr>
      </w:pPr>
      <w:hyperlink w:anchor="_Toc473296205" w:history="1">
        <w:r w:rsidR="00562D22" w:rsidRPr="00570192">
          <w:rPr>
            <w:rStyle w:val="Hyperlink"/>
            <w:noProof/>
          </w:rPr>
          <w:t>5.</w:t>
        </w:r>
        <w:r w:rsidR="00562D22">
          <w:rPr>
            <w:rFonts w:asciiTheme="minorHAnsi" w:hAnsiTheme="minorHAnsi" w:cstheme="minorBidi"/>
            <w:noProof/>
            <w:color w:val="auto"/>
            <w:szCs w:val="22"/>
            <w:lang w:eastAsia="en-NZ"/>
          </w:rPr>
          <w:tab/>
        </w:r>
        <w:r w:rsidR="00562D22" w:rsidRPr="00570192">
          <w:rPr>
            <w:rStyle w:val="Hyperlink"/>
            <w:noProof/>
          </w:rPr>
          <w:t>Designation of offers through licensed intermediaries</w:t>
        </w:r>
        <w:r w:rsidR="00562D22">
          <w:rPr>
            <w:noProof/>
            <w:webHidden/>
          </w:rPr>
          <w:tab/>
        </w:r>
        <w:r w:rsidR="00562D22">
          <w:rPr>
            <w:noProof/>
            <w:webHidden/>
          </w:rPr>
          <w:fldChar w:fldCharType="begin"/>
        </w:r>
        <w:r w:rsidR="00562D22">
          <w:rPr>
            <w:noProof/>
            <w:webHidden/>
          </w:rPr>
          <w:instrText xml:space="preserve"> PAGEREF _Toc473296205 \h </w:instrText>
        </w:r>
        <w:r w:rsidR="00562D22">
          <w:rPr>
            <w:noProof/>
            <w:webHidden/>
          </w:rPr>
        </w:r>
        <w:r w:rsidR="00562D22">
          <w:rPr>
            <w:noProof/>
            <w:webHidden/>
          </w:rPr>
          <w:fldChar w:fldCharType="separate"/>
        </w:r>
        <w:r w:rsidR="00562D22">
          <w:rPr>
            <w:noProof/>
            <w:webHidden/>
          </w:rPr>
          <w:t>2</w:t>
        </w:r>
        <w:r w:rsidR="00562D22">
          <w:rPr>
            <w:noProof/>
            <w:webHidden/>
          </w:rPr>
          <w:fldChar w:fldCharType="end"/>
        </w:r>
      </w:hyperlink>
    </w:p>
    <w:p w:rsidR="00562D22" w:rsidRDefault="00DB5708">
      <w:pPr>
        <w:pStyle w:val="TOC1"/>
        <w:rPr>
          <w:rFonts w:asciiTheme="minorHAnsi" w:hAnsiTheme="minorHAnsi" w:cstheme="minorBidi"/>
          <w:noProof/>
          <w:color w:val="auto"/>
          <w:szCs w:val="22"/>
          <w:lang w:eastAsia="en-NZ"/>
        </w:rPr>
      </w:pPr>
      <w:hyperlink w:anchor="_Toc473296206" w:history="1">
        <w:r w:rsidR="00562D22" w:rsidRPr="00570192">
          <w:rPr>
            <w:rStyle w:val="Hyperlink"/>
            <w:noProof/>
          </w:rPr>
          <w:t>6.</w:t>
        </w:r>
        <w:r w:rsidR="00562D22">
          <w:rPr>
            <w:rFonts w:asciiTheme="minorHAnsi" w:hAnsiTheme="minorHAnsi" w:cstheme="minorBidi"/>
            <w:noProof/>
            <w:color w:val="auto"/>
            <w:szCs w:val="22"/>
            <w:lang w:eastAsia="en-NZ"/>
          </w:rPr>
          <w:tab/>
        </w:r>
        <w:r w:rsidR="00562D22" w:rsidRPr="00570192">
          <w:rPr>
            <w:rStyle w:val="Hyperlink"/>
            <w:noProof/>
          </w:rPr>
          <w:t>Application</w:t>
        </w:r>
        <w:r w:rsidR="00562D22">
          <w:rPr>
            <w:noProof/>
            <w:webHidden/>
          </w:rPr>
          <w:tab/>
        </w:r>
        <w:r w:rsidR="00562D22">
          <w:rPr>
            <w:noProof/>
            <w:webHidden/>
          </w:rPr>
          <w:fldChar w:fldCharType="begin"/>
        </w:r>
        <w:r w:rsidR="00562D22">
          <w:rPr>
            <w:noProof/>
            <w:webHidden/>
          </w:rPr>
          <w:instrText xml:space="preserve"> PAGEREF _Toc473296206 \h </w:instrText>
        </w:r>
        <w:r w:rsidR="00562D22">
          <w:rPr>
            <w:noProof/>
            <w:webHidden/>
          </w:rPr>
        </w:r>
        <w:r w:rsidR="00562D22">
          <w:rPr>
            <w:noProof/>
            <w:webHidden/>
          </w:rPr>
          <w:fldChar w:fldCharType="separate"/>
        </w:r>
        <w:r w:rsidR="00562D22">
          <w:rPr>
            <w:noProof/>
            <w:webHidden/>
          </w:rPr>
          <w:t>2</w:t>
        </w:r>
        <w:r w:rsidR="00562D22">
          <w:rPr>
            <w:noProof/>
            <w:webHidden/>
          </w:rPr>
          <w:fldChar w:fldCharType="end"/>
        </w:r>
      </w:hyperlink>
    </w:p>
    <w:p w:rsidR="00562D22" w:rsidRPr="00562D22" w:rsidRDefault="00DB5708">
      <w:pPr>
        <w:pStyle w:val="TOC1"/>
        <w:rPr>
          <w:rFonts w:asciiTheme="minorHAnsi" w:hAnsiTheme="minorHAnsi" w:cstheme="minorBidi"/>
          <w:noProof/>
          <w:color w:val="auto"/>
          <w:szCs w:val="22"/>
          <w:lang w:eastAsia="en-NZ"/>
        </w:rPr>
      </w:pPr>
      <w:hyperlink w:anchor="_Toc473296207" w:history="1">
        <w:r w:rsidR="00562D22" w:rsidRPr="00562D22">
          <w:rPr>
            <w:rStyle w:val="Hyperlink"/>
            <w:noProof/>
            <w:lang w:eastAsia="en-US"/>
          </w:rPr>
          <w:t>7.</w:t>
        </w:r>
        <w:r w:rsidR="00562D22" w:rsidRPr="00562D22">
          <w:rPr>
            <w:rFonts w:asciiTheme="minorHAnsi" w:hAnsiTheme="minorHAnsi" w:cstheme="minorBidi"/>
            <w:noProof/>
            <w:color w:val="auto"/>
            <w:szCs w:val="22"/>
            <w:lang w:eastAsia="en-NZ"/>
          </w:rPr>
          <w:tab/>
        </w:r>
        <w:r w:rsidR="00562D22" w:rsidRPr="00562D22">
          <w:rPr>
            <w:rStyle w:val="Hyperlink"/>
            <w:noProof/>
            <w:lang w:eastAsia="en-US"/>
          </w:rPr>
          <w:t>Powers of shareholders</w:t>
        </w:r>
        <w:r w:rsidR="00562D22" w:rsidRPr="00562D22">
          <w:rPr>
            <w:noProof/>
            <w:webHidden/>
          </w:rPr>
          <w:tab/>
        </w:r>
        <w:r w:rsidR="00562D22" w:rsidRPr="00562D22">
          <w:rPr>
            <w:noProof/>
            <w:webHidden/>
          </w:rPr>
          <w:fldChar w:fldCharType="begin"/>
        </w:r>
        <w:r w:rsidR="00562D22" w:rsidRPr="00562D22">
          <w:rPr>
            <w:noProof/>
            <w:webHidden/>
          </w:rPr>
          <w:instrText xml:space="preserve"> PAGEREF _Toc473296207 \h </w:instrText>
        </w:r>
        <w:r w:rsidR="00562D22" w:rsidRPr="00562D22">
          <w:rPr>
            <w:noProof/>
            <w:webHidden/>
          </w:rPr>
        </w:r>
        <w:r w:rsidR="00562D22" w:rsidRPr="00562D22">
          <w:rPr>
            <w:noProof/>
            <w:webHidden/>
          </w:rPr>
          <w:fldChar w:fldCharType="separate"/>
        </w:r>
        <w:r w:rsidR="00562D22" w:rsidRPr="00562D22">
          <w:rPr>
            <w:noProof/>
            <w:webHidden/>
          </w:rPr>
          <w:t>2</w:t>
        </w:r>
        <w:r w:rsidR="00562D22" w:rsidRPr="00562D22">
          <w:rPr>
            <w:noProof/>
            <w:webHidden/>
          </w:rPr>
          <w:fldChar w:fldCharType="end"/>
        </w:r>
      </w:hyperlink>
    </w:p>
    <w:p w:rsidR="00562D22" w:rsidRPr="00562D22" w:rsidRDefault="00DB5708">
      <w:pPr>
        <w:pStyle w:val="TOC1"/>
        <w:rPr>
          <w:rFonts w:asciiTheme="minorHAnsi" w:hAnsiTheme="minorHAnsi" w:cstheme="minorBidi"/>
          <w:noProof/>
          <w:color w:val="auto"/>
          <w:szCs w:val="22"/>
          <w:lang w:eastAsia="en-NZ"/>
        </w:rPr>
      </w:pPr>
      <w:hyperlink w:anchor="_Toc473296208" w:history="1">
        <w:r w:rsidR="00562D22" w:rsidRPr="00562D22">
          <w:rPr>
            <w:rStyle w:val="Hyperlink"/>
            <w:noProof/>
            <w:lang w:eastAsia="en-US"/>
          </w:rPr>
          <w:t>8.</w:t>
        </w:r>
        <w:r w:rsidR="00562D22" w:rsidRPr="00562D22">
          <w:rPr>
            <w:rFonts w:asciiTheme="minorHAnsi" w:hAnsiTheme="minorHAnsi" w:cstheme="minorBidi"/>
            <w:noProof/>
            <w:color w:val="auto"/>
            <w:szCs w:val="22"/>
            <w:lang w:eastAsia="en-NZ"/>
          </w:rPr>
          <w:tab/>
        </w:r>
        <w:r w:rsidR="00562D22" w:rsidRPr="00562D22">
          <w:rPr>
            <w:rStyle w:val="Hyperlink"/>
            <w:noProof/>
            <w:lang w:eastAsia="en-US"/>
          </w:rPr>
          <w:t>Calculation of disproportionate voting rights</w:t>
        </w:r>
        <w:r w:rsidR="00562D22" w:rsidRPr="00562D22">
          <w:rPr>
            <w:noProof/>
            <w:webHidden/>
          </w:rPr>
          <w:tab/>
        </w:r>
        <w:r w:rsidR="00562D22" w:rsidRPr="00562D22">
          <w:rPr>
            <w:noProof/>
            <w:webHidden/>
          </w:rPr>
          <w:fldChar w:fldCharType="begin"/>
        </w:r>
        <w:r w:rsidR="00562D22" w:rsidRPr="00562D22">
          <w:rPr>
            <w:noProof/>
            <w:webHidden/>
          </w:rPr>
          <w:instrText xml:space="preserve"> PAGEREF _Toc473296208 \h </w:instrText>
        </w:r>
        <w:r w:rsidR="00562D22" w:rsidRPr="00562D22">
          <w:rPr>
            <w:noProof/>
            <w:webHidden/>
          </w:rPr>
        </w:r>
        <w:r w:rsidR="00562D22" w:rsidRPr="00562D22">
          <w:rPr>
            <w:noProof/>
            <w:webHidden/>
          </w:rPr>
          <w:fldChar w:fldCharType="separate"/>
        </w:r>
        <w:r w:rsidR="00562D22" w:rsidRPr="00562D22">
          <w:rPr>
            <w:noProof/>
            <w:webHidden/>
          </w:rPr>
          <w:t>3</w:t>
        </w:r>
        <w:r w:rsidR="00562D22" w:rsidRPr="00562D22">
          <w:rPr>
            <w:noProof/>
            <w:webHidden/>
          </w:rPr>
          <w:fldChar w:fldCharType="end"/>
        </w:r>
      </w:hyperlink>
    </w:p>
    <w:p w:rsidR="00562D22" w:rsidRPr="00562D22" w:rsidRDefault="00DB5708">
      <w:pPr>
        <w:pStyle w:val="TOC1"/>
        <w:rPr>
          <w:rFonts w:asciiTheme="minorHAnsi" w:hAnsiTheme="minorHAnsi" w:cstheme="minorBidi"/>
          <w:noProof/>
          <w:color w:val="auto"/>
          <w:szCs w:val="22"/>
          <w:lang w:eastAsia="en-NZ"/>
        </w:rPr>
      </w:pPr>
      <w:hyperlink w:anchor="_Toc473296209" w:history="1">
        <w:r w:rsidR="00562D22" w:rsidRPr="00562D22">
          <w:rPr>
            <w:rStyle w:val="Hyperlink"/>
            <w:noProof/>
            <w:lang w:eastAsia="en-US"/>
          </w:rPr>
          <w:t>9.</w:t>
        </w:r>
        <w:r w:rsidR="00562D22" w:rsidRPr="00562D22">
          <w:rPr>
            <w:rFonts w:asciiTheme="minorHAnsi" w:hAnsiTheme="minorHAnsi" w:cstheme="minorBidi"/>
            <w:noProof/>
            <w:color w:val="auto"/>
            <w:szCs w:val="22"/>
            <w:lang w:eastAsia="en-NZ"/>
          </w:rPr>
          <w:tab/>
        </w:r>
        <w:r w:rsidR="00562D22" w:rsidRPr="00562D22">
          <w:rPr>
            <w:rStyle w:val="Hyperlink"/>
            <w:noProof/>
            <w:lang w:eastAsia="en-US"/>
          </w:rPr>
          <w:t>Key service provider arrangements</w:t>
        </w:r>
        <w:r w:rsidR="00562D22" w:rsidRPr="00562D22">
          <w:rPr>
            <w:noProof/>
            <w:webHidden/>
          </w:rPr>
          <w:tab/>
        </w:r>
        <w:r w:rsidR="00562D22" w:rsidRPr="00562D22">
          <w:rPr>
            <w:noProof/>
            <w:webHidden/>
          </w:rPr>
          <w:fldChar w:fldCharType="begin"/>
        </w:r>
        <w:r w:rsidR="00562D22" w:rsidRPr="00562D22">
          <w:rPr>
            <w:noProof/>
            <w:webHidden/>
          </w:rPr>
          <w:instrText xml:space="preserve"> PAGEREF _Toc473296209 \h </w:instrText>
        </w:r>
        <w:r w:rsidR="00562D22" w:rsidRPr="00562D22">
          <w:rPr>
            <w:noProof/>
            <w:webHidden/>
          </w:rPr>
        </w:r>
        <w:r w:rsidR="00562D22" w:rsidRPr="00562D22">
          <w:rPr>
            <w:noProof/>
            <w:webHidden/>
          </w:rPr>
          <w:fldChar w:fldCharType="separate"/>
        </w:r>
        <w:r w:rsidR="00562D22" w:rsidRPr="00562D22">
          <w:rPr>
            <w:noProof/>
            <w:webHidden/>
          </w:rPr>
          <w:t>4</w:t>
        </w:r>
        <w:r w:rsidR="00562D22" w:rsidRPr="00562D22">
          <w:rPr>
            <w:noProof/>
            <w:webHidden/>
          </w:rPr>
          <w:fldChar w:fldCharType="end"/>
        </w:r>
      </w:hyperlink>
    </w:p>
    <w:p w:rsidR="00562D22" w:rsidRPr="00562D22" w:rsidRDefault="00DB5708">
      <w:pPr>
        <w:pStyle w:val="TOC1"/>
        <w:rPr>
          <w:rFonts w:asciiTheme="minorHAnsi" w:hAnsiTheme="minorHAnsi" w:cstheme="minorBidi"/>
          <w:noProof/>
          <w:color w:val="auto"/>
          <w:szCs w:val="22"/>
          <w:lang w:eastAsia="en-NZ"/>
        </w:rPr>
      </w:pPr>
      <w:hyperlink w:anchor="_Toc473296210" w:history="1">
        <w:r w:rsidR="00562D22" w:rsidRPr="00562D22">
          <w:rPr>
            <w:rStyle w:val="Hyperlink"/>
            <w:noProof/>
          </w:rPr>
          <w:t>10.</w:t>
        </w:r>
        <w:r w:rsidR="00562D22" w:rsidRPr="00562D22">
          <w:rPr>
            <w:rFonts w:asciiTheme="minorHAnsi" w:hAnsiTheme="minorHAnsi" w:cstheme="minorBidi"/>
            <w:noProof/>
            <w:color w:val="auto"/>
            <w:szCs w:val="22"/>
            <w:lang w:eastAsia="en-NZ"/>
          </w:rPr>
          <w:tab/>
        </w:r>
        <w:r w:rsidR="00562D22" w:rsidRPr="00562D22">
          <w:rPr>
            <w:rStyle w:val="Hyperlink"/>
            <w:noProof/>
          </w:rPr>
          <w:t>Calculation of specified amount</w:t>
        </w:r>
        <w:r w:rsidR="00562D22" w:rsidRPr="00562D22">
          <w:rPr>
            <w:noProof/>
            <w:webHidden/>
          </w:rPr>
          <w:tab/>
        </w:r>
        <w:r w:rsidR="00562D22" w:rsidRPr="00562D22">
          <w:rPr>
            <w:noProof/>
            <w:webHidden/>
          </w:rPr>
          <w:fldChar w:fldCharType="begin"/>
        </w:r>
        <w:r w:rsidR="00562D22" w:rsidRPr="00562D22">
          <w:rPr>
            <w:noProof/>
            <w:webHidden/>
          </w:rPr>
          <w:instrText xml:space="preserve"> PAGEREF _Toc473296210 \h </w:instrText>
        </w:r>
        <w:r w:rsidR="00562D22" w:rsidRPr="00562D22">
          <w:rPr>
            <w:noProof/>
            <w:webHidden/>
          </w:rPr>
        </w:r>
        <w:r w:rsidR="00562D22" w:rsidRPr="00562D22">
          <w:rPr>
            <w:noProof/>
            <w:webHidden/>
          </w:rPr>
          <w:fldChar w:fldCharType="separate"/>
        </w:r>
        <w:r w:rsidR="00562D22" w:rsidRPr="00562D22">
          <w:rPr>
            <w:noProof/>
            <w:webHidden/>
          </w:rPr>
          <w:t>4</w:t>
        </w:r>
        <w:r w:rsidR="00562D22" w:rsidRPr="00562D22">
          <w:rPr>
            <w:noProof/>
            <w:webHidden/>
          </w:rPr>
          <w:fldChar w:fldCharType="end"/>
        </w:r>
      </w:hyperlink>
    </w:p>
    <w:p w:rsidR="00562D22" w:rsidRDefault="00DB5708">
      <w:pPr>
        <w:pStyle w:val="TOC1"/>
        <w:rPr>
          <w:rFonts w:asciiTheme="minorHAnsi" w:hAnsiTheme="minorHAnsi" w:cstheme="minorBidi"/>
          <w:noProof/>
          <w:color w:val="auto"/>
          <w:szCs w:val="22"/>
          <w:lang w:eastAsia="en-NZ"/>
        </w:rPr>
      </w:pPr>
      <w:hyperlink w:anchor="_Toc473296211" w:history="1">
        <w:r w:rsidR="00562D22" w:rsidRPr="00570192">
          <w:rPr>
            <w:rStyle w:val="Hyperlink"/>
            <w:noProof/>
          </w:rPr>
          <w:t>11.</w:t>
        </w:r>
        <w:r w:rsidR="00562D22">
          <w:rPr>
            <w:rFonts w:asciiTheme="minorHAnsi" w:hAnsiTheme="minorHAnsi" w:cstheme="minorBidi"/>
            <w:noProof/>
            <w:color w:val="auto"/>
            <w:szCs w:val="22"/>
            <w:lang w:eastAsia="en-NZ"/>
          </w:rPr>
          <w:tab/>
        </w:r>
        <w:r w:rsidR="00562D22" w:rsidRPr="00570192">
          <w:rPr>
            <w:rStyle w:val="Hyperlink"/>
            <w:noProof/>
          </w:rPr>
          <w:t>Non-application to NZX main board shares</w:t>
        </w:r>
        <w:r w:rsidR="00562D22">
          <w:rPr>
            <w:noProof/>
            <w:webHidden/>
          </w:rPr>
          <w:tab/>
        </w:r>
        <w:r w:rsidR="00562D22">
          <w:rPr>
            <w:noProof/>
            <w:webHidden/>
          </w:rPr>
          <w:fldChar w:fldCharType="begin"/>
        </w:r>
        <w:r w:rsidR="00562D22">
          <w:rPr>
            <w:noProof/>
            <w:webHidden/>
          </w:rPr>
          <w:instrText xml:space="preserve"> PAGEREF _Toc473296211 \h </w:instrText>
        </w:r>
        <w:r w:rsidR="00562D22">
          <w:rPr>
            <w:noProof/>
            <w:webHidden/>
          </w:rPr>
        </w:r>
        <w:r w:rsidR="00562D22">
          <w:rPr>
            <w:noProof/>
            <w:webHidden/>
          </w:rPr>
          <w:fldChar w:fldCharType="separate"/>
        </w:r>
        <w:r w:rsidR="00562D22">
          <w:rPr>
            <w:noProof/>
            <w:webHidden/>
          </w:rPr>
          <w:t>5</w:t>
        </w:r>
        <w:r w:rsidR="00562D22">
          <w:rPr>
            <w:noProof/>
            <w:webHidden/>
          </w:rPr>
          <w:fldChar w:fldCharType="end"/>
        </w:r>
      </w:hyperlink>
    </w:p>
    <w:p w:rsidR="00C9676E" w:rsidRPr="0003167C" w:rsidRDefault="005C3D81" w:rsidP="005C3D81">
      <w:pPr>
        <w:pStyle w:val="TOC1"/>
        <w:rPr>
          <w:szCs w:val="28"/>
        </w:rPr>
      </w:pPr>
      <w:r>
        <w:rPr>
          <w:szCs w:val="28"/>
        </w:rPr>
        <w:fldChar w:fldCharType="end"/>
      </w:r>
    </w:p>
    <w:p w:rsidR="00C9676E" w:rsidRPr="006A034C" w:rsidRDefault="00C9676E" w:rsidP="003C36CF">
      <w:pPr>
        <w:spacing w:before="240"/>
        <w:jc w:val="center"/>
        <w:rPr>
          <w:rFonts w:eastAsia="Times New Roman" w:cs="Arial"/>
          <w:b/>
          <w:sz w:val="28"/>
          <w:szCs w:val="28"/>
        </w:rPr>
      </w:pPr>
      <w:bookmarkStart w:id="1" w:name="_Toc364452957"/>
      <w:r w:rsidRPr="006A034C">
        <w:rPr>
          <w:rFonts w:eastAsia="Times New Roman" w:cs="Arial"/>
          <w:b/>
          <w:sz w:val="28"/>
          <w:szCs w:val="28"/>
        </w:rPr>
        <w:t>Notice</w:t>
      </w:r>
    </w:p>
    <w:p w:rsidR="00C9676E" w:rsidRPr="005C3D81" w:rsidRDefault="00C9676E" w:rsidP="00E5302D">
      <w:pPr>
        <w:pStyle w:val="Heading1"/>
        <w:numPr>
          <w:ilvl w:val="0"/>
          <w:numId w:val="9"/>
        </w:numPr>
        <w:ind w:left="567" w:hanging="567"/>
      </w:pPr>
      <w:bookmarkStart w:id="2" w:name="_Toc386094876"/>
      <w:bookmarkStart w:id="3" w:name="_Toc418606581"/>
      <w:bookmarkStart w:id="4" w:name="_Toc473296201"/>
      <w:r w:rsidRPr="005C3D81">
        <w:t>Title</w:t>
      </w:r>
      <w:bookmarkEnd w:id="1"/>
      <w:bookmarkEnd w:id="2"/>
      <w:bookmarkEnd w:id="3"/>
      <w:bookmarkEnd w:id="4"/>
    </w:p>
    <w:p w:rsidR="00D052F7" w:rsidRPr="00C9676E" w:rsidRDefault="00D052F7" w:rsidP="005C3D81">
      <w:pPr>
        <w:pStyle w:val="Default"/>
        <w:snapToGrid w:val="0"/>
        <w:spacing w:after="120"/>
        <w:ind w:left="567"/>
        <w:jc w:val="both"/>
        <w:rPr>
          <w:rFonts w:asciiTheme="minorHAnsi" w:hAnsiTheme="minorHAnsi"/>
          <w:sz w:val="22"/>
          <w:szCs w:val="22"/>
        </w:rPr>
      </w:pPr>
      <w:r w:rsidRPr="00C9676E">
        <w:rPr>
          <w:rFonts w:asciiTheme="minorHAnsi" w:hAnsiTheme="minorHAnsi"/>
          <w:sz w:val="22"/>
          <w:szCs w:val="22"/>
        </w:rPr>
        <w:t xml:space="preserve">This notice is the Financial </w:t>
      </w:r>
      <w:r w:rsidR="003E0802">
        <w:rPr>
          <w:rFonts w:asciiTheme="minorHAnsi" w:hAnsiTheme="minorHAnsi"/>
          <w:sz w:val="22"/>
          <w:szCs w:val="22"/>
        </w:rPr>
        <w:t xml:space="preserve">Markets Conduct </w:t>
      </w:r>
      <w:r w:rsidRPr="00C9676E">
        <w:rPr>
          <w:rFonts w:asciiTheme="minorHAnsi" w:hAnsiTheme="minorHAnsi"/>
          <w:sz w:val="22"/>
          <w:szCs w:val="22"/>
        </w:rPr>
        <w:t>(</w:t>
      </w:r>
      <w:r w:rsidR="0006202A">
        <w:rPr>
          <w:rFonts w:asciiTheme="minorHAnsi" w:hAnsiTheme="minorHAnsi"/>
          <w:sz w:val="22"/>
          <w:szCs w:val="22"/>
        </w:rPr>
        <w:t>Shares in Investment Companies</w:t>
      </w:r>
      <w:r w:rsidR="00A405FE">
        <w:rPr>
          <w:rFonts w:asciiTheme="minorHAnsi" w:hAnsiTheme="minorHAnsi"/>
          <w:sz w:val="22"/>
          <w:szCs w:val="22"/>
        </w:rPr>
        <w:t>) Designation Notice 201</w:t>
      </w:r>
      <w:r w:rsidR="00867390">
        <w:rPr>
          <w:rFonts w:asciiTheme="minorHAnsi" w:hAnsiTheme="minorHAnsi"/>
          <w:sz w:val="22"/>
          <w:szCs w:val="22"/>
        </w:rPr>
        <w:t>7</w:t>
      </w:r>
      <w:r w:rsidR="00A405FE">
        <w:rPr>
          <w:rFonts w:asciiTheme="minorHAnsi" w:hAnsiTheme="minorHAnsi"/>
          <w:sz w:val="22"/>
          <w:szCs w:val="22"/>
        </w:rPr>
        <w:t>.</w:t>
      </w:r>
    </w:p>
    <w:p w:rsidR="00D052F7" w:rsidRPr="00C9676E" w:rsidRDefault="00D052F7" w:rsidP="00E5302D">
      <w:pPr>
        <w:pStyle w:val="Heading1"/>
        <w:numPr>
          <w:ilvl w:val="0"/>
          <w:numId w:val="9"/>
        </w:numPr>
        <w:ind w:left="567" w:hanging="567"/>
      </w:pPr>
      <w:bookmarkStart w:id="5" w:name="_Toc473296202"/>
      <w:r w:rsidRPr="00C9676E">
        <w:t>Commencement</w:t>
      </w:r>
      <w:bookmarkEnd w:id="5"/>
    </w:p>
    <w:p w:rsidR="00D052F7" w:rsidRPr="00C9676E" w:rsidRDefault="00D052F7" w:rsidP="005C3D81">
      <w:pPr>
        <w:pStyle w:val="Default"/>
        <w:snapToGrid w:val="0"/>
        <w:spacing w:after="120"/>
        <w:ind w:left="567"/>
        <w:jc w:val="both"/>
        <w:rPr>
          <w:rFonts w:asciiTheme="minorHAnsi" w:hAnsiTheme="minorHAnsi"/>
          <w:sz w:val="22"/>
          <w:szCs w:val="22"/>
        </w:rPr>
      </w:pPr>
      <w:r w:rsidRPr="00C9676E">
        <w:rPr>
          <w:rFonts w:asciiTheme="minorHAnsi" w:hAnsiTheme="minorHAnsi"/>
          <w:sz w:val="22"/>
          <w:szCs w:val="22"/>
        </w:rPr>
        <w:t xml:space="preserve">This notice comes into force on </w:t>
      </w:r>
      <w:r w:rsidR="009934FA">
        <w:rPr>
          <w:rFonts w:asciiTheme="minorHAnsi" w:hAnsiTheme="minorHAnsi"/>
          <w:sz w:val="22"/>
          <w:szCs w:val="22"/>
        </w:rPr>
        <w:t>[**] 2017</w:t>
      </w:r>
      <w:r w:rsidR="003E0802">
        <w:rPr>
          <w:rFonts w:asciiTheme="minorHAnsi" w:hAnsiTheme="minorHAnsi"/>
          <w:sz w:val="22"/>
          <w:szCs w:val="22"/>
        </w:rPr>
        <w:t>.</w:t>
      </w:r>
    </w:p>
    <w:p w:rsidR="00D052F7" w:rsidRPr="00C9676E" w:rsidRDefault="00D052F7" w:rsidP="00E5302D">
      <w:pPr>
        <w:pStyle w:val="Heading1"/>
        <w:numPr>
          <w:ilvl w:val="0"/>
          <w:numId w:val="9"/>
        </w:numPr>
        <w:ind w:left="567" w:hanging="567"/>
      </w:pPr>
      <w:bookmarkStart w:id="6" w:name="_Toc473296203"/>
      <w:r w:rsidRPr="00C9676E">
        <w:t>Interpretation</w:t>
      </w:r>
      <w:bookmarkEnd w:id="6"/>
      <w:r w:rsidRPr="00C9676E">
        <w:t xml:space="preserve"> </w:t>
      </w:r>
    </w:p>
    <w:p w:rsidR="00D052F7" w:rsidRPr="005C3D81" w:rsidRDefault="00D052F7" w:rsidP="00E5302D">
      <w:pPr>
        <w:numPr>
          <w:ilvl w:val="0"/>
          <w:numId w:val="2"/>
        </w:numPr>
        <w:ind w:left="567" w:hanging="567"/>
        <w:jc w:val="both"/>
        <w:rPr>
          <w:rFonts w:eastAsia="Calibri" w:cs="Times New Roman"/>
          <w:color w:val="auto"/>
          <w:szCs w:val="22"/>
          <w:lang w:eastAsia="en-US"/>
        </w:rPr>
      </w:pPr>
      <w:r w:rsidRPr="005C3D81">
        <w:rPr>
          <w:rFonts w:eastAsia="Calibri" w:cs="Times New Roman"/>
          <w:color w:val="auto"/>
          <w:szCs w:val="22"/>
          <w:lang w:eastAsia="en-US"/>
        </w:rPr>
        <w:t>In this notice, unless t</w:t>
      </w:r>
      <w:r w:rsidR="00A33939">
        <w:rPr>
          <w:rFonts w:eastAsia="Calibri" w:cs="Times New Roman"/>
          <w:color w:val="auto"/>
          <w:szCs w:val="22"/>
          <w:lang w:eastAsia="en-US"/>
        </w:rPr>
        <w:t>he context otherwise requires,—</w:t>
      </w:r>
    </w:p>
    <w:p w:rsidR="00D052F7" w:rsidRDefault="00D052F7" w:rsidP="005C3D81">
      <w:pPr>
        <w:pStyle w:val="Default"/>
        <w:tabs>
          <w:tab w:val="left" w:pos="709"/>
        </w:tabs>
        <w:snapToGrid w:val="0"/>
        <w:spacing w:after="120"/>
        <w:ind w:left="567"/>
        <w:jc w:val="both"/>
        <w:rPr>
          <w:rFonts w:asciiTheme="minorHAnsi" w:hAnsiTheme="minorHAnsi"/>
          <w:sz w:val="22"/>
          <w:szCs w:val="22"/>
        </w:rPr>
      </w:pPr>
      <w:r w:rsidRPr="00C9676E">
        <w:rPr>
          <w:rFonts w:asciiTheme="minorHAnsi" w:hAnsiTheme="minorHAnsi"/>
          <w:b/>
          <w:bCs/>
          <w:sz w:val="22"/>
          <w:szCs w:val="22"/>
        </w:rPr>
        <w:t xml:space="preserve">Act </w:t>
      </w:r>
      <w:r w:rsidRPr="00C9676E">
        <w:rPr>
          <w:rFonts w:asciiTheme="minorHAnsi" w:hAnsiTheme="minorHAnsi"/>
          <w:sz w:val="22"/>
          <w:szCs w:val="22"/>
        </w:rPr>
        <w:t>means the Fin</w:t>
      </w:r>
      <w:r w:rsidR="00454A27">
        <w:rPr>
          <w:rFonts w:asciiTheme="minorHAnsi" w:hAnsiTheme="minorHAnsi"/>
          <w:sz w:val="22"/>
          <w:szCs w:val="22"/>
        </w:rPr>
        <w:t>ancial Markets Conduct Act 2013</w:t>
      </w:r>
    </w:p>
    <w:p w:rsidR="002505AA" w:rsidRPr="002505AA" w:rsidRDefault="002505AA" w:rsidP="005C3D81">
      <w:pPr>
        <w:pStyle w:val="Default"/>
        <w:tabs>
          <w:tab w:val="left" w:pos="709"/>
        </w:tabs>
        <w:snapToGrid w:val="0"/>
        <w:spacing w:after="120"/>
        <w:ind w:left="567"/>
        <w:jc w:val="both"/>
        <w:rPr>
          <w:rFonts w:asciiTheme="minorHAnsi" w:hAnsiTheme="minorHAnsi"/>
          <w:bCs/>
          <w:sz w:val="22"/>
          <w:szCs w:val="22"/>
        </w:rPr>
      </w:pPr>
      <w:r>
        <w:rPr>
          <w:rFonts w:asciiTheme="minorHAnsi" w:hAnsiTheme="minorHAnsi"/>
          <w:b/>
          <w:bCs/>
          <w:sz w:val="22"/>
          <w:szCs w:val="22"/>
        </w:rPr>
        <w:t>asset manager</w:t>
      </w:r>
      <w:r>
        <w:rPr>
          <w:rFonts w:asciiTheme="minorHAnsi" w:hAnsiTheme="minorHAnsi"/>
          <w:bCs/>
          <w:sz w:val="22"/>
          <w:szCs w:val="22"/>
        </w:rPr>
        <w:t xml:space="preserve"> means, in relation to an investment company, a person who monitors, maintains</w:t>
      </w:r>
      <w:r w:rsidR="00627254">
        <w:rPr>
          <w:rFonts w:asciiTheme="minorHAnsi" w:hAnsiTheme="minorHAnsi"/>
          <w:bCs/>
          <w:sz w:val="22"/>
          <w:szCs w:val="22"/>
        </w:rPr>
        <w:t>,</w:t>
      </w:r>
      <w:r>
        <w:rPr>
          <w:rFonts w:asciiTheme="minorHAnsi" w:hAnsiTheme="minorHAnsi"/>
          <w:bCs/>
          <w:sz w:val="22"/>
          <w:szCs w:val="22"/>
        </w:rPr>
        <w:t xml:space="preserve"> or otherwise </w:t>
      </w:r>
      <w:r w:rsidR="00A90851">
        <w:rPr>
          <w:rFonts w:asciiTheme="minorHAnsi" w:hAnsiTheme="minorHAnsi"/>
          <w:bCs/>
          <w:sz w:val="22"/>
          <w:szCs w:val="22"/>
        </w:rPr>
        <w:t xml:space="preserve">manages </w:t>
      </w:r>
      <w:r>
        <w:rPr>
          <w:rFonts w:asciiTheme="minorHAnsi" w:hAnsiTheme="minorHAnsi"/>
          <w:bCs/>
          <w:sz w:val="22"/>
          <w:szCs w:val="22"/>
        </w:rPr>
        <w:t>some or all of the investment property of the company</w:t>
      </w:r>
    </w:p>
    <w:p w:rsidR="00A90851" w:rsidRPr="00A90851" w:rsidRDefault="00A90851" w:rsidP="005C3D81">
      <w:pPr>
        <w:pStyle w:val="Default"/>
        <w:tabs>
          <w:tab w:val="left" w:pos="709"/>
        </w:tabs>
        <w:snapToGrid w:val="0"/>
        <w:spacing w:after="120"/>
        <w:ind w:left="567"/>
        <w:jc w:val="both"/>
      </w:pPr>
      <w:r>
        <w:rPr>
          <w:rFonts w:asciiTheme="minorHAnsi" w:hAnsiTheme="minorHAnsi"/>
          <w:b/>
          <w:bCs/>
          <w:sz w:val="22"/>
          <w:szCs w:val="22"/>
        </w:rPr>
        <w:t>financial advice</w:t>
      </w:r>
      <w:r>
        <w:rPr>
          <w:rFonts w:asciiTheme="minorHAnsi" w:hAnsiTheme="minorHAnsi"/>
          <w:bCs/>
          <w:sz w:val="22"/>
          <w:szCs w:val="22"/>
        </w:rPr>
        <w:t xml:space="preserve"> has the </w:t>
      </w:r>
      <w:r w:rsidR="00A405FE">
        <w:rPr>
          <w:rFonts w:asciiTheme="minorHAnsi" w:hAnsiTheme="minorHAnsi"/>
          <w:bCs/>
          <w:sz w:val="22"/>
          <w:szCs w:val="22"/>
        </w:rPr>
        <w:t xml:space="preserve">same </w:t>
      </w:r>
      <w:r>
        <w:rPr>
          <w:rFonts w:asciiTheme="minorHAnsi" w:hAnsiTheme="minorHAnsi"/>
          <w:bCs/>
          <w:sz w:val="22"/>
          <w:szCs w:val="22"/>
        </w:rPr>
        <w:t xml:space="preserve">meaning </w:t>
      </w:r>
      <w:r w:rsidR="00A405FE">
        <w:rPr>
          <w:rFonts w:asciiTheme="minorHAnsi" w:hAnsiTheme="minorHAnsi"/>
          <w:bCs/>
          <w:sz w:val="22"/>
          <w:szCs w:val="22"/>
        </w:rPr>
        <w:t>as</w:t>
      </w:r>
      <w:r>
        <w:rPr>
          <w:rFonts w:asciiTheme="minorHAnsi" w:hAnsiTheme="minorHAnsi"/>
          <w:bCs/>
          <w:sz w:val="22"/>
          <w:szCs w:val="22"/>
        </w:rPr>
        <w:t xml:space="preserve"> in section 10 of the Financial Advisers Act 2008</w:t>
      </w:r>
    </w:p>
    <w:p w:rsidR="00544E08" w:rsidRPr="00A90851" w:rsidRDefault="00A90851" w:rsidP="00544E08">
      <w:pPr>
        <w:pStyle w:val="Default"/>
        <w:tabs>
          <w:tab w:val="left" w:pos="709"/>
        </w:tabs>
        <w:snapToGrid w:val="0"/>
        <w:spacing w:after="120"/>
        <w:ind w:left="567"/>
        <w:jc w:val="both"/>
        <w:rPr>
          <w:rFonts w:asciiTheme="minorHAnsi" w:hAnsiTheme="minorHAnsi"/>
          <w:bCs/>
          <w:sz w:val="22"/>
          <w:szCs w:val="22"/>
        </w:rPr>
      </w:pPr>
      <w:r>
        <w:rPr>
          <w:rFonts w:asciiTheme="minorHAnsi" w:hAnsiTheme="minorHAnsi"/>
          <w:b/>
          <w:bCs/>
          <w:sz w:val="22"/>
          <w:szCs w:val="22"/>
        </w:rPr>
        <w:t>investment adviser</w:t>
      </w:r>
      <w:r>
        <w:rPr>
          <w:rFonts w:asciiTheme="minorHAnsi" w:hAnsiTheme="minorHAnsi"/>
          <w:bCs/>
          <w:sz w:val="22"/>
          <w:szCs w:val="22"/>
        </w:rPr>
        <w:t xml:space="preserve"> means, in relation to an investment company, a person who provides financial advice to the company</w:t>
      </w:r>
    </w:p>
    <w:p w:rsidR="00BC3015" w:rsidRDefault="004A2A4A" w:rsidP="00A405FE">
      <w:pPr>
        <w:pStyle w:val="Default"/>
        <w:tabs>
          <w:tab w:val="left" w:pos="709"/>
        </w:tabs>
        <w:snapToGrid w:val="0"/>
        <w:spacing w:after="120"/>
        <w:ind w:left="567"/>
        <w:jc w:val="both"/>
        <w:rPr>
          <w:rFonts w:asciiTheme="minorHAnsi" w:hAnsiTheme="minorHAnsi"/>
          <w:bCs/>
          <w:sz w:val="22"/>
          <w:szCs w:val="22"/>
        </w:rPr>
      </w:pPr>
      <w:r>
        <w:rPr>
          <w:rFonts w:asciiTheme="minorHAnsi" w:hAnsiTheme="minorHAnsi"/>
          <w:b/>
          <w:bCs/>
          <w:sz w:val="22"/>
          <w:szCs w:val="22"/>
        </w:rPr>
        <w:lastRenderedPageBreak/>
        <w:t>investment company</w:t>
      </w:r>
      <w:r w:rsidR="005D5263">
        <w:rPr>
          <w:rFonts w:asciiTheme="minorHAnsi" w:hAnsiTheme="minorHAnsi"/>
          <w:bCs/>
          <w:sz w:val="22"/>
          <w:szCs w:val="22"/>
        </w:rPr>
        <w:t xml:space="preserve"> </w:t>
      </w:r>
      <w:r>
        <w:rPr>
          <w:rFonts w:asciiTheme="minorHAnsi" w:hAnsiTheme="minorHAnsi"/>
          <w:bCs/>
          <w:sz w:val="22"/>
          <w:szCs w:val="22"/>
        </w:rPr>
        <w:t>means</w:t>
      </w:r>
      <w:r w:rsidR="00E531BD">
        <w:rPr>
          <w:rFonts w:asciiTheme="minorHAnsi" w:hAnsiTheme="minorHAnsi"/>
          <w:bCs/>
          <w:sz w:val="22"/>
          <w:szCs w:val="22"/>
        </w:rPr>
        <w:t xml:space="preserve"> a company that </w:t>
      </w:r>
      <w:r w:rsidR="00E531BD" w:rsidRPr="00E531BD">
        <w:rPr>
          <w:rFonts w:asciiTheme="minorHAnsi" w:hAnsiTheme="minorHAnsi"/>
          <w:bCs/>
          <w:sz w:val="22"/>
          <w:szCs w:val="22"/>
        </w:rPr>
        <w:t>holds itself out as</w:t>
      </w:r>
      <w:r w:rsidR="00DD1C68">
        <w:rPr>
          <w:rFonts w:asciiTheme="minorHAnsi" w:hAnsiTheme="minorHAnsi"/>
          <w:bCs/>
          <w:sz w:val="22"/>
          <w:szCs w:val="22"/>
        </w:rPr>
        <w:t xml:space="preserve"> being, or is primarily engaged</w:t>
      </w:r>
      <w:r w:rsidR="00E531BD" w:rsidRPr="00E531BD">
        <w:rPr>
          <w:rFonts w:asciiTheme="minorHAnsi" w:hAnsiTheme="minorHAnsi"/>
          <w:bCs/>
          <w:sz w:val="22"/>
          <w:szCs w:val="22"/>
        </w:rPr>
        <w:t xml:space="preserve">, </w:t>
      </w:r>
      <w:r w:rsidR="00DD1C68">
        <w:rPr>
          <w:rFonts w:asciiTheme="minorHAnsi" w:hAnsiTheme="minorHAnsi"/>
          <w:bCs/>
          <w:sz w:val="22"/>
          <w:szCs w:val="22"/>
        </w:rPr>
        <w:t xml:space="preserve">in </w:t>
      </w:r>
      <w:r w:rsidR="00E531BD" w:rsidRPr="00E531BD">
        <w:rPr>
          <w:rFonts w:asciiTheme="minorHAnsi" w:hAnsiTheme="minorHAnsi"/>
          <w:bCs/>
          <w:sz w:val="22"/>
          <w:szCs w:val="22"/>
        </w:rPr>
        <w:t>the business of investing in investment property</w:t>
      </w:r>
    </w:p>
    <w:p w:rsidR="00A90851" w:rsidRPr="00A90851" w:rsidRDefault="00A90851" w:rsidP="00DD1C68">
      <w:pPr>
        <w:pStyle w:val="Default"/>
        <w:tabs>
          <w:tab w:val="left" w:pos="709"/>
        </w:tabs>
        <w:snapToGrid w:val="0"/>
        <w:spacing w:after="120"/>
        <w:ind w:left="567"/>
        <w:jc w:val="both"/>
        <w:rPr>
          <w:rFonts w:asciiTheme="minorHAnsi" w:hAnsiTheme="minorHAnsi"/>
          <w:bCs/>
          <w:sz w:val="22"/>
          <w:szCs w:val="22"/>
        </w:rPr>
      </w:pPr>
      <w:r>
        <w:rPr>
          <w:rFonts w:asciiTheme="minorHAnsi" w:hAnsiTheme="minorHAnsi"/>
          <w:b/>
          <w:bCs/>
          <w:sz w:val="22"/>
          <w:szCs w:val="22"/>
        </w:rPr>
        <w:t>investment manager</w:t>
      </w:r>
      <w:r>
        <w:rPr>
          <w:rFonts w:asciiTheme="minorHAnsi" w:hAnsiTheme="minorHAnsi"/>
          <w:bCs/>
          <w:sz w:val="22"/>
          <w:szCs w:val="22"/>
        </w:rPr>
        <w:t xml:space="preserve"> means, in relation to an investment company, a person who manages the investment of some or all of the investment property of the company</w:t>
      </w:r>
    </w:p>
    <w:p w:rsidR="00AE68A3" w:rsidRDefault="00183542" w:rsidP="00AE68A3">
      <w:pPr>
        <w:pStyle w:val="Default"/>
        <w:tabs>
          <w:tab w:val="left" w:pos="709"/>
        </w:tabs>
        <w:snapToGrid w:val="0"/>
        <w:spacing w:after="120"/>
        <w:ind w:left="567"/>
        <w:jc w:val="both"/>
        <w:rPr>
          <w:rFonts w:asciiTheme="minorHAnsi" w:hAnsiTheme="minorHAnsi"/>
          <w:bCs/>
          <w:sz w:val="22"/>
          <w:szCs w:val="22"/>
        </w:rPr>
      </w:pPr>
      <w:r w:rsidRPr="00F8782B">
        <w:rPr>
          <w:rFonts w:asciiTheme="minorHAnsi" w:hAnsiTheme="minorHAnsi"/>
          <w:b/>
          <w:bCs/>
          <w:sz w:val="22"/>
          <w:szCs w:val="22"/>
        </w:rPr>
        <w:t xml:space="preserve">investment property </w:t>
      </w:r>
      <w:r w:rsidR="00877390">
        <w:rPr>
          <w:rFonts w:asciiTheme="minorHAnsi" w:hAnsiTheme="minorHAnsi"/>
          <w:bCs/>
          <w:sz w:val="22"/>
          <w:szCs w:val="22"/>
        </w:rPr>
        <w:t>means</w:t>
      </w:r>
      <w:r w:rsidR="00A405FE">
        <w:rPr>
          <w:rFonts w:asciiTheme="minorHAnsi" w:hAnsiTheme="minorHAnsi"/>
          <w:bCs/>
          <w:sz w:val="22"/>
          <w:szCs w:val="22"/>
        </w:rPr>
        <w:t xml:space="preserve"> </w:t>
      </w:r>
      <w:r w:rsidR="00627254">
        <w:rPr>
          <w:rFonts w:asciiTheme="minorHAnsi" w:hAnsiTheme="minorHAnsi"/>
          <w:bCs/>
          <w:sz w:val="22"/>
          <w:szCs w:val="22"/>
        </w:rPr>
        <w:t xml:space="preserve">1 </w:t>
      </w:r>
      <w:r w:rsidR="001B6B70">
        <w:rPr>
          <w:rFonts w:asciiTheme="minorHAnsi" w:hAnsiTheme="minorHAnsi"/>
          <w:bCs/>
          <w:sz w:val="22"/>
          <w:szCs w:val="22"/>
        </w:rPr>
        <w:t>or more</w:t>
      </w:r>
      <w:r w:rsidR="00A405FE">
        <w:rPr>
          <w:rFonts w:asciiTheme="minorHAnsi" w:hAnsiTheme="minorHAnsi"/>
          <w:bCs/>
          <w:sz w:val="22"/>
          <w:szCs w:val="22"/>
        </w:rPr>
        <w:t xml:space="preserve"> of</w:t>
      </w:r>
      <w:r w:rsidR="00AE68A3">
        <w:rPr>
          <w:rFonts w:asciiTheme="minorHAnsi" w:hAnsiTheme="minorHAnsi"/>
          <w:bCs/>
          <w:sz w:val="22"/>
          <w:szCs w:val="22"/>
        </w:rPr>
        <w:t xml:space="preserve"> the following—</w:t>
      </w:r>
    </w:p>
    <w:p w:rsidR="00E32CF2" w:rsidRDefault="009C1718" w:rsidP="00C12145">
      <w:pPr>
        <w:pStyle w:val="Default"/>
        <w:numPr>
          <w:ilvl w:val="0"/>
          <w:numId w:val="12"/>
        </w:numPr>
        <w:tabs>
          <w:tab w:val="left" w:pos="567"/>
        </w:tabs>
        <w:snapToGrid w:val="0"/>
        <w:spacing w:after="120"/>
        <w:ind w:left="1134" w:hanging="567"/>
        <w:jc w:val="both"/>
        <w:rPr>
          <w:rFonts w:asciiTheme="minorHAnsi" w:hAnsiTheme="minorHAnsi"/>
          <w:bCs/>
          <w:sz w:val="22"/>
          <w:szCs w:val="22"/>
        </w:rPr>
      </w:pPr>
      <w:r>
        <w:rPr>
          <w:rFonts w:asciiTheme="minorHAnsi" w:hAnsiTheme="minorHAnsi"/>
          <w:bCs/>
          <w:sz w:val="22"/>
          <w:szCs w:val="22"/>
        </w:rPr>
        <w:t>a</w:t>
      </w:r>
      <w:r w:rsidR="00E531BD" w:rsidRPr="00F8782B">
        <w:rPr>
          <w:rFonts w:asciiTheme="minorHAnsi" w:hAnsiTheme="minorHAnsi"/>
          <w:bCs/>
          <w:sz w:val="22"/>
          <w:szCs w:val="22"/>
        </w:rPr>
        <w:t xml:space="preserve"> financial product</w:t>
      </w:r>
      <w:r w:rsidR="00627254">
        <w:rPr>
          <w:rFonts w:asciiTheme="minorHAnsi" w:hAnsiTheme="minorHAnsi"/>
          <w:bCs/>
          <w:sz w:val="22"/>
          <w:szCs w:val="22"/>
        </w:rPr>
        <w:t>:</w:t>
      </w:r>
    </w:p>
    <w:p w:rsidR="00E32CF2" w:rsidRDefault="00E32CF2" w:rsidP="00C12145">
      <w:pPr>
        <w:pStyle w:val="Default"/>
        <w:numPr>
          <w:ilvl w:val="0"/>
          <w:numId w:val="12"/>
        </w:numPr>
        <w:tabs>
          <w:tab w:val="left" w:pos="567"/>
        </w:tabs>
        <w:snapToGrid w:val="0"/>
        <w:spacing w:after="120"/>
        <w:ind w:left="1134" w:hanging="567"/>
        <w:jc w:val="both"/>
        <w:rPr>
          <w:rFonts w:asciiTheme="minorHAnsi" w:hAnsiTheme="minorHAnsi"/>
          <w:bCs/>
          <w:sz w:val="22"/>
          <w:szCs w:val="22"/>
        </w:rPr>
      </w:pPr>
      <w:r>
        <w:rPr>
          <w:rFonts w:asciiTheme="minorHAnsi" w:hAnsiTheme="minorHAnsi"/>
          <w:bCs/>
          <w:sz w:val="22"/>
          <w:szCs w:val="22"/>
        </w:rPr>
        <w:t xml:space="preserve">a </w:t>
      </w:r>
      <w:r w:rsidR="00183542" w:rsidRPr="00F8782B">
        <w:rPr>
          <w:rFonts w:asciiTheme="minorHAnsi" w:hAnsiTheme="minorHAnsi"/>
          <w:bCs/>
          <w:sz w:val="22"/>
          <w:szCs w:val="22"/>
        </w:rPr>
        <w:t>co</w:t>
      </w:r>
      <w:r w:rsidR="00E531BD" w:rsidRPr="00F8782B">
        <w:rPr>
          <w:rFonts w:asciiTheme="minorHAnsi" w:hAnsiTheme="minorHAnsi"/>
          <w:bCs/>
          <w:sz w:val="22"/>
          <w:szCs w:val="22"/>
        </w:rPr>
        <w:t>mmodity</w:t>
      </w:r>
      <w:r w:rsidR="00627254">
        <w:rPr>
          <w:rFonts w:asciiTheme="minorHAnsi" w:hAnsiTheme="minorHAnsi"/>
          <w:bCs/>
          <w:sz w:val="22"/>
          <w:szCs w:val="22"/>
        </w:rPr>
        <w:t>:</w:t>
      </w:r>
    </w:p>
    <w:p w:rsidR="00E32CF2" w:rsidRDefault="00BF11D6" w:rsidP="00C12145">
      <w:pPr>
        <w:pStyle w:val="Default"/>
        <w:numPr>
          <w:ilvl w:val="0"/>
          <w:numId w:val="12"/>
        </w:numPr>
        <w:tabs>
          <w:tab w:val="left" w:pos="567"/>
        </w:tabs>
        <w:snapToGrid w:val="0"/>
        <w:spacing w:after="120"/>
        <w:ind w:left="1134" w:hanging="567"/>
        <w:jc w:val="both"/>
        <w:rPr>
          <w:rFonts w:asciiTheme="minorHAnsi" w:hAnsiTheme="minorHAnsi"/>
          <w:bCs/>
          <w:sz w:val="22"/>
          <w:szCs w:val="22"/>
        </w:rPr>
      </w:pPr>
      <w:r w:rsidRPr="00F8782B">
        <w:rPr>
          <w:rFonts w:asciiTheme="minorHAnsi" w:hAnsiTheme="minorHAnsi"/>
          <w:bCs/>
          <w:sz w:val="22"/>
          <w:szCs w:val="22"/>
        </w:rPr>
        <w:t xml:space="preserve">foreign </w:t>
      </w:r>
      <w:r w:rsidR="00E531BD" w:rsidRPr="00F8782B">
        <w:rPr>
          <w:rFonts w:asciiTheme="minorHAnsi" w:hAnsiTheme="minorHAnsi"/>
          <w:bCs/>
          <w:sz w:val="22"/>
          <w:szCs w:val="22"/>
        </w:rPr>
        <w:t>currency</w:t>
      </w:r>
      <w:r w:rsidR="00627254">
        <w:rPr>
          <w:rFonts w:asciiTheme="minorHAnsi" w:hAnsiTheme="minorHAnsi"/>
          <w:bCs/>
          <w:sz w:val="22"/>
          <w:szCs w:val="22"/>
        </w:rPr>
        <w:t>:</w:t>
      </w:r>
    </w:p>
    <w:p w:rsidR="00DD1C68" w:rsidRPr="00DD1C68" w:rsidRDefault="00822F39" w:rsidP="00C12145">
      <w:pPr>
        <w:pStyle w:val="Default"/>
        <w:numPr>
          <w:ilvl w:val="0"/>
          <w:numId w:val="12"/>
        </w:numPr>
        <w:tabs>
          <w:tab w:val="left" w:pos="567"/>
        </w:tabs>
        <w:snapToGrid w:val="0"/>
        <w:spacing w:after="120"/>
        <w:ind w:left="1134" w:hanging="567"/>
        <w:jc w:val="both"/>
        <w:rPr>
          <w:rFonts w:asciiTheme="minorHAnsi" w:hAnsiTheme="minorHAnsi"/>
          <w:bCs/>
          <w:sz w:val="22"/>
          <w:szCs w:val="22"/>
        </w:rPr>
      </w:pPr>
      <w:r>
        <w:rPr>
          <w:rFonts w:asciiTheme="minorHAnsi" w:hAnsiTheme="minorHAnsi"/>
          <w:bCs/>
          <w:sz w:val="22"/>
          <w:szCs w:val="22"/>
        </w:rPr>
        <w:t>land or buildings</w:t>
      </w:r>
    </w:p>
    <w:p w:rsidR="00BF7D02" w:rsidRDefault="00822F39" w:rsidP="001E4A8E">
      <w:pPr>
        <w:pStyle w:val="Default"/>
        <w:tabs>
          <w:tab w:val="left" w:pos="709"/>
        </w:tabs>
        <w:snapToGrid w:val="0"/>
        <w:spacing w:after="120"/>
        <w:ind w:left="567"/>
        <w:jc w:val="both"/>
        <w:rPr>
          <w:rFonts w:asciiTheme="minorHAnsi" w:hAnsiTheme="minorHAnsi"/>
          <w:bCs/>
          <w:sz w:val="22"/>
          <w:szCs w:val="22"/>
        </w:rPr>
      </w:pPr>
      <w:r>
        <w:rPr>
          <w:rFonts w:asciiTheme="minorHAnsi" w:hAnsiTheme="minorHAnsi"/>
          <w:b/>
          <w:bCs/>
          <w:sz w:val="22"/>
          <w:szCs w:val="22"/>
        </w:rPr>
        <w:t>key service provider</w:t>
      </w:r>
      <w:r>
        <w:rPr>
          <w:rFonts w:asciiTheme="minorHAnsi" w:hAnsiTheme="minorHAnsi"/>
          <w:bCs/>
          <w:sz w:val="22"/>
          <w:szCs w:val="22"/>
        </w:rPr>
        <w:t xml:space="preserve"> means </w:t>
      </w:r>
      <w:r w:rsidR="000206B8">
        <w:rPr>
          <w:rFonts w:asciiTheme="minorHAnsi" w:hAnsiTheme="minorHAnsi"/>
          <w:bCs/>
          <w:sz w:val="22"/>
          <w:szCs w:val="22"/>
        </w:rPr>
        <w:t xml:space="preserve">a person who acts as </w:t>
      </w:r>
      <w:r>
        <w:rPr>
          <w:rFonts w:asciiTheme="minorHAnsi" w:hAnsiTheme="minorHAnsi"/>
          <w:bCs/>
          <w:sz w:val="22"/>
          <w:szCs w:val="22"/>
        </w:rPr>
        <w:t>a</w:t>
      </w:r>
      <w:r w:rsidR="000206B8">
        <w:rPr>
          <w:rFonts w:asciiTheme="minorHAnsi" w:hAnsiTheme="minorHAnsi"/>
          <w:bCs/>
          <w:sz w:val="22"/>
          <w:szCs w:val="22"/>
        </w:rPr>
        <w:t xml:space="preserve">n asset manager, </w:t>
      </w:r>
      <w:r w:rsidR="00A90851">
        <w:rPr>
          <w:rFonts w:asciiTheme="minorHAnsi" w:hAnsiTheme="minorHAnsi"/>
          <w:bCs/>
          <w:sz w:val="22"/>
          <w:szCs w:val="22"/>
        </w:rPr>
        <w:t xml:space="preserve">investment </w:t>
      </w:r>
      <w:r w:rsidR="002505AA">
        <w:rPr>
          <w:rFonts w:asciiTheme="minorHAnsi" w:hAnsiTheme="minorHAnsi"/>
          <w:bCs/>
          <w:sz w:val="22"/>
          <w:szCs w:val="22"/>
        </w:rPr>
        <w:t>adviser</w:t>
      </w:r>
      <w:r w:rsidR="00627254">
        <w:rPr>
          <w:rFonts w:asciiTheme="minorHAnsi" w:hAnsiTheme="minorHAnsi"/>
          <w:bCs/>
          <w:sz w:val="22"/>
          <w:szCs w:val="22"/>
        </w:rPr>
        <w:t>,</w:t>
      </w:r>
      <w:r w:rsidR="002505AA">
        <w:rPr>
          <w:rFonts w:asciiTheme="minorHAnsi" w:hAnsiTheme="minorHAnsi"/>
          <w:bCs/>
          <w:sz w:val="22"/>
          <w:szCs w:val="22"/>
        </w:rPr>
        <w:t xml:space="preserve"> or </w:t>
      </w:r>
      <w:r w:rsidR="00FD710A">
        <w:rPr>
          <w:rFonts w:asciiTheme="minorHAnsi" w:hAnsiTheme="minorHAnsi"/>
          <w:bCs/>
          <w:sz w:val="22"/>
          <w:szCs w:val="22"/>
        </w:rPr>
        <w:t>investment manager</w:t>
      </w:r>
    </w:p>
    <w:p w:rsidR="000D0D53" w:rsidRPr="00D427D0" w:rsidRDefault="008C3C54" w:rsidP="00D427D0">
      <w:pPr>
        <w:pStyle w:val="Default"/>
        <w:tabs>
          <w:tab w:val="left" w:pos="709"/>
        </w:tabs>
        <w:snapToGrid w:val="0"/>
        <w:spacing w:after="120"/>
        <w:ind w:left="567"/>
        <w:jc w:val="both"/>
        <w:rPr>
          <w:rFonts w:asciiTheme="minorHAnsi" w:hAnsiTheme="minorHAnsi"/>
          <w:bCs/>
          <w:sz w:val="22"/>
          <w:szCs w:val="22"/>
        </w:rPr>
      </w:pPr>
      <w:r>
        <w:rPr>
          <w:rFonts w:asciiTheme="minorHAnsi" w:hAnsiTheme="minorHAnsi"/>
          <w:b/>
          <w:bCs/>
          <w:sz w:val="22"/>
          <w:szCs w:val="22"/>
        </w:rPr>
        <w:t>NZX main b</w:t>
      </w:r>
      <w:r w:rsidR="00D427D0" w:rsidRPr="00D427D0">
        <w:rPr>
          <w:rFonts w:asciiTheme="minorHAnsi" w:hAnsiTheme="minorHAnsi"/>
          <w:b/>
          <w:bCs/>
          <w:sz w:val="22"/>
          <w:szCs w:val="22"/>
        </w:rPr>
        <w:t>oard</w:t>
      </w:r>
      <w:r w:rsidR="00D427D0">
        <w:rPr>
          <w:rFonts w:asciiTheme="minorHAnsi" w:hAnsiTheme="minorHAnsi"/>
          <w:bCs/>
          <w:sz w:val="22"/>
          <w:szCs w:val="22"/>
        </w:rPr>
        <w:t xml:space="preserve"> means the equity securit</w:t>
      </w:r>
      <w:r w:rsidR="00FD4A94">
        <w:rPr>
          <w:rFonts w:asciiTheme="minorHAnsi" w:hAnsiTheme="minorHAnsi"/>
          <w:bCs/>
          <w:sz w:val="22"/>
          <w:szCs w:val="22"/>
        </w:rPr>
        <w:t>ies</w:t>
      </w:r>
      <w:r w:rsidR="00D427D0">
        <w:rPr>
          <w:rFonts w:asciiTheme="minorHAnsi" w:hAnsiTheme="minorHAnsi"/>
          <w:bCs/>
          <w:sz w:val="22"/>
          <w:szCs w:val="22"/>
        </w:rPr>
        <w:t xml:space="preserve"> market operated by NZX Limited under that name</w:t>
      </w:r>
    </w:p>
    <w:p w:rsidR="00AE68A3" w:rsidRDefault="00297299" w:rsidP="00AE68A3">
      <w:pPr>
        <w:pStyle w:val="Default"/>
        <w:tabs>
          <w:tab w:val="left" w:pos="709"/>
        </w:tabs>
        <w:snapToGrid w:val="0"/>
        <w:spacing w:after="120"/>
        <w:ind w:left="567"/>
        <w:jc w:val="both"/>
        <w:rPr>
          <w:rFonts w:asciiTheme="minorHAnsi" w:hAnsiTheme="minorHAnsi"/>
          <w:bCs/>
          <w:sz w:val="22"/>
          <w:szCs w:val="22"/>
        </w:rPr>
      </w:pPr>
      <w:r>
        <w:rPr>
          <w:rFonts w:asciiTheme="minorHAnsi" w:hAnsiTheme="minorHAnsi"/>
          <w:b/>
          <w:bCs/>
          <w:sz w:val="22"/>
          <w:szCs w:val="22"/>
        </w:rPr>
        <w:t>NZX main b</w:t>
      </w:r>
      <w:r w:rsidR="002860ED">
        <w:rPr>
          <w:rFonts w:asciiTheme="minorHAnsi" w:hAnsiTheme="minorHAnsi"/>
          <w:b/>
          <w:bCs/>
          <w:sz w:val="22"/>
          <w:szCs w:val="22"/>
        </w:rPr>
        <w:t>o</w:t>
      </w:r>
      <w:r>
        <w:rPr>
          <w:rFonts w:asciiTheme="minorHAnsi" w:hAnsiTheme="minorHAnsi"/>
          <w:b/>
          <w:bCs/>
          <w:sz w:val="22"/>
          <w:szCs w:val="22"/>
        </w:rPr>
        <w:t>ard s</w:t>
      </w:r>
      <w:r w:rsidR="002860ED">
        <w:rPr>
          <w:rFonts w:asciiTheme="minorHAnsi" w:hAnsiTheme="minorHAnsi"/>
          <w:b/>
          <w:bCs/>
          <w:sz w:val="22"/>
          <w:szCs w:val="22"/>
        </w:rPr>
        <w:t>hares</w:t>
      </w:r>
      <w:r w:rsidR="002860ED">
        <w:rPr>
          <w:rFonts w:asciiTheme="minorHAnsi" w:hAnsiTheme="minorHAnsi"/>
          <w:bCs/>
          <w:sz w:val="22"/>
          <w:szCs w:val="22"/>
        </w:rPr>
        <w:t xml:space="preserve"> means</w:t>
      </w:r>
      <w:r w:rsidR="008C3C54">
        <w:rPr>
          <w:rFonts w:asciiTheme="minorHAnsi" w:hAnsiTheme="minorHAnsi"/>
          <w:bCs/>
          <w:sz w:val="22"/>
          <w:szCs w:val="22"/>
        </w:rPr>
        <w:t xml:space="preserve"> shares to which any of the following applies</w:t>
      </w:r>
      <w:r w:rsidR="00AE68A3">
        <w:rPr>
          <w:rFonts w:asciiTheme="minorHAnsi" w:hAnsiTheme="minorHAnsi"/>
          <w:bCs/>
          <w:sz w:val="22"/>
          <w:szCs w:val="22"/>
        </w:rPr>
        <w:t>—</w:t>
      </w:r>
    </w:p>
    <w:p w:rsidR="002860ED" w:rsidRDefault="002860ED" w:rsidP="00C12145">
      <w:pPr>
        <w:pStyle w:val="Default"/>
        <w:numPr>
          <w:ilvl w:val="0"/>
          <w:numId w:val="23"/>
        </w:numPr>
        <w:tabs>
          <w:tab w:val="left" w:pos="709"/>
        </w:tabs>
        <w:snapToGrid w:val="0"/>
        <w:spacing w:after="120"/>
        <w:ind w:left="1134" w:hanging="567"/>
        <w:jc w:val="both"/>
        <w:rPr>
          <w:rFonts w:asciiTheme="minorHAnsi" w:hAnsiTheme="minorHAnsi"/>
          <w:bCs/>
          <w:sz w:val="22"/>
          <w:szCs w:val="22"/>
        </w:rPr>
      </w:pPr>
      <w:r>
        <w:rPr>
          <w:rFonts w:asciiTheme="minorHAnsi" w:hAnsiTheme="minorHAnsi"/>
          <w:bCs/>
          <w:sz w:val="22"/>
          <w:szCs w:val="22"/>
        </w:rPr>
        <w:t>the shares are quoted on the</w:t>
      </w:r>
      <w:r w:rsidR="008C3C54">
        <w:rPr>
          <w:rFonts w:asciiTheme="minorHAnsi" w:hAnsiTheme="minorHAnsi"/>
          <w:bCs/>
          <w:sz w:val="22"/>
          <w:szCs w:val="22"/>
        </w:rPr>
        <w:t xml:space="preserve"> NZX main board</w:t>
      </w:r>
      <w:r>
        <w:rPr>
          <w:rFonts w:asciiTheme="minorHAnsi" w:hAnsiTheme="minorHAnsi"/>
          <w:bCs/>
          <w:sz w:val="22"/>
          <w:szCs w:val="22"/>
        </w:rPr>
        <w:t>; or</w:t>
      </w:r>
    </w:p>
    <w:p w:rsidR="002860ED" w:rsidRPr="002860ED" w:rsidRDefault="002860ED" w:rsidP="00C12145">
      <w:pPr>
        <w:pStyle w:val="Default"/>
        <w:numPr>
          <w:ilvl w:val="0"/>
          <w:numId w:val="23"/>
        </w:numPr>
        <w:tabs>
          <w:tab w:val="left" w:pos="709"/>
        </w:tabs>
        <w:snapToGrid w:val="0"/>
        <w:spacing w:after="120"/>
        <w:ind w:left="1134" w:hanging="567"/>
        <w:jc w:val="both"/>
        <w:rPr>
          <w:rFonts w:asciiTheme="minorHAnsi" w:hAnsiTheme="minorHAnsi"/>
          <w:bCs/>
          <w:sz w:val="22"/>
          <w:szCs w:val="22"/>
        </w:rPr>
      </w:pPr>
      <w:r>
        <w:rPr>
          <w:rFonts w:asciiTheme="minorHAnsi" w:hAnsiTheme="minorHAnsi"/>
          <w:bCs/>
          <w:sz w:val="22"/>
          <w:szCs w:val="22"/>
        </w:rPr>
        <w:t xml:space="preserve">it is a term of </w:t>
      </w:r>
      <w:r w:rsidR="00E20E33">
        <w:rPr>
          <w:rFonts w:asciiTheme="minorHAnsi" w:hAnsiTheme="minorHAnsi"/>
          <w:bCs/>
          <w:sz w:val="22"/>
          <w:szCs w:val="22"/>
        </w:rPr>
        <w:t>an offer of the shares</w:t>
      </w:r>
      <w:r>
        <w:rPr>
          <w:rFonts w:asciiTheme="minorHAnsi" w:hAnsiTheme="minorHAnsi"/>
          <w:bCs/>
          <w:sz w:val="22"/>
          <w:szCs w:val="22"/>
        </w:rPr>
        <w:t xml:space="preserve"> that the shares will be approved for trading on the </w:t>
      </w:r>
      <w:r w:rsidR="008C3C54">
        <w:rPr>
          <w:rFonts w:asciiTheme="minorHAnsi" w:hAnsiTheme="minorHAnsi"/>
          <w:bCs/>
          <w:sz w:val="22"/>
          <w:szCs w:val="22"/>
        </w:rPr>
        <w:t xml:space="preserve">NZX main board </w:t>
      </w:r>
      <w:r>
        <w:rPr>
          <w:rFonts w:asciiTheme="minorHAnsi" w:hAnsiTheme="minorHAnsi"/>
          <w:bCs/>
          <w:sz w:val="22"/>
          <w:szCs w:val="22"/>
        </w:rPr>
        <w:t>immediat</w:t>
      </w:r>
      <w:r w:rsidR="003F0F21">
        <w:rPr>
          <w:rFonts w:asciiTheme="minorHAnsi" w:hAnsiTheme="minorHAnsi"/>
          <w:bCs/>
          <w:sz w:val="22"/>
          <w:szCs w:val="22"/>
        </w:rPr>
        <w:t>ely after the shares are issued</w:t>
      </w:r>
    </w:p>
    <w:p w:rsidR="00454A27" w:rsidRPr="00454A27" w:rsidRDefault="00454A27" w:rsidP="002860ED">
      <w:pPr>
        <w:pStyle w:val="Default"/>
        <w:tabs>
          <w:tab w:val="left" w:pos="709"/>
        </w:tabs>
        <w:snapToGrid w:val="0"/>
        <w:spacing w:after="120"/>
        <w:ind w:left="567"/>
        <w:jc w:val="both"/>
        <w:rPr>
          <w:rFonts w:asciiTheme="minorHAnsi" w:hAnsiTheme="minorHAnsi"/>
          <w:sz w:val="22"/>
          <w:szCs w:val="22"/>
        </w:rPr>
      </w:pPr>
      <w:r>
        <w:rPr>
          <w:rFonts w:asciiTheme="minorHAnsi" w:hAnsiTheme="minorHAnsi"/>
          <w:b/>
          <w:bCs/>
          <w:sz w:val="22"/>
          <w:szCs w:val="22"/>
        </w:rPr>
        <w:t>Regulations</w:t>
      </w:r>
      <w:r>
        <w:rPr>
          <w:rFonts w:asciiTheme="minorHAnsi" w:hAnsiTheme="minorHAnsi"/>
          <w:bCs/>
          <w:sz w:val="22"/>
          <w:szCs w:val="22"/>
        </w:rPr>
        <w:t xml:space="preserve"> means the Financial M</w:t>
      </w:r>
      <w:r w:rsidR="007268EA">
        <w:rPr>
          <w:rFonts w:asciiTheme="minorHAnsi" w:hAnsiTheme="minorHAnsi"/>
          <w:bCs/>
          <w:sz w:val="22"/>
          <w:szCs w:val="22"/>
        </w:rPr>
        <w:t>arkets Conduct Regulations 2014</w:t>
      </w:r>
      <w:r w:rsidR="004163A7">
        <w:rPr>
          <w:rFonts w:asciiTheme="minorHAnsi" w:hAnsiTheme="minorHAnsi"/>
          <w:bCs/>
          <w:sz w:val="22"/>
          <w:szCs w:val="22"/>
        </w:rPr>
        <w:t>.</w:t>
      </w:r>
    </w:p>
    <w:p w:rsidR="00D052F7" w:rsidRPr="00454A27" w:rsidRDefault="00D052F7" w:rsidP="00E5302D">
      <w:pPr>
        <w:pStyle w:val="Default"/>
        <w:numPr>
          <w:ilvl w:val="0"/>
          <w:numId w:val="2"/>
        </w:numPr>
        <w:tabs>
          <w:tab w:val="left" w:pos="709"/>
        </w:tabs>
        <w:snapToGrid w:val="0"/>
        <w:spacing w:after="120"/>
        <w:ind w:left="567" w:hanging="567"/>
        <w:jc w:val="both"/>
        <w:rPr>
          <w:rFonts w:eastAsia="Calibri" w:cs="Times New Roman"/>
          <w:color w:val="auto"/>
          <w:sz w:val="22"/>
          <w:szCs w:val="22"/>
          <w:lang w:eastAsia="en-US"/>
        </w:rPr>
      </w:pPr>
      <w:r w:rsidRPr="00454A27">
        <w:rPr>
          <w:rFonts w:eastAsia="Calibri" w:cs="Times New Roman"/>
          <w:color w:val="auto"/>
          <w:sz w:val="22"/>
          <w:szCs w:val="22"/>
          <w:lang w:eastAsia="en-US"/>
        </w:rPr>
        <w:t>Any term or expression that is defined in the Act or the Regulations and used, but not defined, in this notice has the same meaning as</w:t>
      </w:r>
      <w:r w:rsidR="00AE68A3">
        <w:rPr>
          <w:rFonts w:eastAsia="Calibri" w:cs="Times New Roman"/>
          <w:color w:val="auto"/>
          <w:sz w:val="22"/>
          <w:szCs w:val="22"/>
          <w:lang w:eastAsia="en-US"/>
        </w:rPr>
        <w:t xml:space="preserve"> in the Act or the Regulations.</w:t>
      </w:r>
    </w:p>
    <w:p w:rsidR="009934FA" w:rsidRPr="00C9676E" w:rsidRDefault="009934FA" w:rsidP="00E5302D">
      <w:pPr>
        <w:pStyle w:val="Heading1"/>
        <w:numPr>
          <w:ilvl w:val="0"/>
          <w:numId w:val="9"/>
        </w:numPr>
        <w:ind w:left="567" w:hanging="567"/>
      </w:pPr>
      <w:bookmarkStart w:id="7" w:name="_Toc473296204"/>
      <w:r w:rsidRPr="00C9676E">
        <w:t>De</w:t>
      </w:r>
      <w:r>
        <w:t>signation</w:t>
      </w:r>
      <w:r w:rsidR="004163A7">
        <w:t>s</w:t>
      </w:r>
      <w:bookmarkEnd w:id="7"/>
    </w:p>
    <w:p w:rsidR="00494E5B" w:rsidRDefault="00206F0D" w:rsidP="00E5302D">
      <w:pPr>
        <w:pStyle w:val="Default"/>
        <w:numPr>
          <w:ilvl w:val="1"/>
          <w:numId w:val="9"/>
        </w:numPr>
        <w:tabs>
          <w:tab w:val="left" w:pos="709"/>
        </w:tabs>
        <w:snapToGrid w:val="0"/>
        <w:spacing w:after="120"/>
        <w:ind w:left="567" w:hanging="567"/>
        <w:jc w:val="both"/>
        <w:rPr>
          <w:rFonts w:asciiTheme="minorHAnsi" w:hAnsiTheme="minorHAnsi"/>
          <w:color w:val="auto"/>
          <w:sz w:val="22"/>
          <w:szCs w:val="22"/>
        </w:rPr>
      </w:pPr>
      <w:r>
        <w:rPr>
          <w:rFonts w:asciiTheme="minorHAnsi" w:hAnsiTheme="minorHAnsi"/>
          <w:color w:val="auto"/>
          <w:sz w:val="22"/>
          <w:szCs w:val="22"/>
        </w:rPr>
        <w:t>Shares to which this notice applies</w:t>
      </w:r>
      <w:r w:rsidR="001E22C0">
        <w:rPr>
          <w:rFonts w:asciiTheme="minorHAnsi" w:hAnsiTheme="minorHAnsi"/>
          <w:color w:val="auto"/>
          <w:sz w:val="22"/>
          <w:szCs w:val="22"/>
        </w:rPr>
        <w:t xml:space="preserve"> </w:t>
      </w:r>
      <w:r w:rsidR="009934FA">
        <w:rPr>
          <w:rFonts w:asciiTheme="minorHAnsi" w:hAnsiTheme="minorHAnsi"/>
          <w:color w:val="auto"/>
          <w:sz w:val="22"/>
          <w:szCs w:val="22"/>
        </w:rPr>
        <w:t>are declared</w:t>
      </w:r>
      <w:r w:rsidR="0010465E">
        <w:rPr>
          <w:rFonts w:asciiTheme="minorHAnsi" w:hAnsiTheme="minorHAnsi"/>
          <w:color w:val="auto"/>
          <w:sz w:val="22"/>
          <w:szCs w:val="22"/>
        </w:rPr>
        <w:t xml:space="preserve"> </w:t>
      </w:r>
      <w:r w:rsidR="009934FA">
        <w:rPr>
          <w:rFonts w:asciiTheme="minorHAnsi" w:hAnsiTheme="minorHAnsi"/>
          <w:color w:val="auto"/>
          <w:sz w:val="22"/>
          <w:szCs w:val="22"/>
        </w:rPr>
        <w:t>to be managed investment products.</w:t>
      </w:r>
    </w:p>
    <w:p w:rsidR="00494E5B" w:rsidRDefault="001E22C0" w:rsidP="00E5302D">
      <w:pPr>
        <w:pStyle w:val="Default"/>
        <w:numPr>
          <w:ilvl w:val="1"/>
          <w:numId w:val="9"/>
        </w:numPr>
        <w:tabs>
          <w:tab w:val="left" w:pos="709"/>
        </w:tabs>
        <w:snapToGrid w:val="0"/>
        <w:spacing w:after="120"/>
        <w:ind w:left="567" w:hanging="567"/>
        <w:jc w:val="both"/>
        <w:rPr>
          <w:rFonts w:asciiTheme="minorHAnsi" w:hAnsiTheme="minorHAnsi"/>
          <w:color w:val="auto"/>
          <w:sz w:val="22"/>
          <w:szCs w:val="22"/>
        </w:rPr>
      </w:pPr>
      <w:r w:rsidRPr="00494E5B">
        <w:rPr>
          <w:rFonts w:asciiTheme="minorHAnsi" w:hAnsiTheme="minorHAnsi"/>
          <w:color w:val="auto"/>
          <w:sz w:val="22"/>
          <w:szCs w:val="22"/>
        </w:rPr>
        <w:t xml:space="preserve">Companies that </w:t>
      </w:r>
      <w:r w:rsidR="00870F7A" w:rsidRPr="00494E5B">
        <w:rPr>
          <w:rFonts w:asciiTheme="minorHAnsi" w:hAnsiTheme="minorHAnsi"/>
          <w:color w:val="auto"/>
          <w:sz w:val="22"/>
          <w:szCs w:val="22"/>
        </w:rPr>
        <w:t xml:space="preserve">issue </w:t>
      </w:r>
      <w:r w:rsidR="004E0E60">
        <w:rPr>
          <w:rFonts w:asciiTheme="minorHAnsi" w:hAnsiTheme="minorHAnsi"/>
          <w:color w:val="auto"/>
          <w:sz w:val="22"/>
          <w:szCs w:val="22"/>
        </w:rPr>
        <w:t xml:space="preserve">shares to which </w:t>
      </w:r>
      <w:r w:rsidR="00BD7144">
        <w:rPr>
          <w:rFonts w:asciiTheme="minorHAnsi" w:hAnsiTheme="minorHAnsi"/>
          <w:color w:val="auto"/>
          <w:sz w:val="22"/>
          <w:szCs w:val="22"/>
        </w:rPr>
        <w:t>this notice</w:t>
      </w:r>
      <w:r w:rsidR="00206F0D" w:rsidRPr="00494E5B">
        <w:rPr>
          <w:rFonts w:asciiTheme="minorHAnsi" w:hAnsiTheme="minorHAnsi"/>
          <w:color w:val="auto"/>
          <w:sz w:val="22"/>
          <w:szCs w:val="22"/>
        </w:rPr>
        <w:t xml:space="preserve"> applies</w:t>
      </w:r>
      <w:r w:rsidRPr="00494E5B">
        <w:rPr>
          <w:rFonts w:asciiTheme="minorHAnsi" w:hAnsiTheme="minorHAnsi"/>
          <w:color w:val="auto"/>
          <w:sz w:val="22"/>
          <w:szCs w:val="22"/>
        </w:rPr>
        <w:t xml:space="preserve"> are </w:t>
      </w:r>
      <w:r w:rsidR="00870F7A" w:rsidRPr="00494E5B">
        <w:rPr>
          <w:rFonts w:asciiTheme="minorHAnsi" w:hAnsiTheme="minorHAnsi"/>
          <w:color w:val="auto"/>
          <w:sz w:val="22"/>
          <w:szCs w:val="22"/>
        </w:rPr>
        <w:t>declared to be managed investment scheme</w:t>
      </w:r>
      <w:r w:rsidR="00206F0D" w:rsidRPr="00494E5B">
        <w:rPr>
          <w:rFonts w:asciiTheme="minorHAnsi" w:hAnsiTheme="minorHAnsi"/>
          <w:color w:val="auto"/>
          <w:sz w:val="22"/>
          <w:szCs w:val="22"/>
        </w:rPr>
        <w:t>s</w:t>
      </w:r>
      <w:r w:rsidR="00D86168">
        <w:rPr>
          <w:rFonts w:asciiTheme="minorHAnsi" w:hAnsiTheme="minorHAnsi"/>
          <w:color w:val="auto"/>
          <w:sz w:val="22"/>
          <w:szCs w:val="22"/>
        </w:rPr>
        <w:t xml:space="preserve"> in relation to those shares</w:t>
      </w:r>
      <w:r w:rsidR="00206F0D" w:rsidRPr="00494E5B">
        <w:rPr>
          <w:rFonts w:asciiTheme="minorHAnsi" w:hAnsiTheme="minorHAnsi"/>
          <w:color w:val="auto"/>
          <w:sz w:val="22"/>
          <w:szCs w:val="22"/>
        </w:rPr>
        <w:t>.</w:t>
      </w:r>
      <w:r w:rsidR="00E20E33">
        <w:rPr>
          <w:rFonts w:asciiTheme="minorHAnsi" w:hAnsiTheme="minorHAnsi"/>
          <w:color w:val="auto"/>
          <w:sz w:val="22"/>
          <w:szCs w:val="22"/>
        </w:rPr>
        <w:t xml:space="preserve"> </w:t>
      </w:r>
    </w:p>
    <w:p w:rsidR="00E20E33" w:rsidRDefault="00E20E33" w:rsidP="00E20E33">
      <w:pPr>
        <w:pStyle w:val="Heading1"/>
        <w:numPr>
          <w:ilvl w:val="0"/>
          <w:numId w:val="9"/>
        </w:numPr>
        <w:ind w:left="567" w:hanging="567"/>
      </w:pPr>
      <w:bookmarkStart w:id="8" w:name="_Toc473296205"/>
      <w:r>
        <w:t>Designation of offers through licensed intermediaries</w:t>
      </w:r>
      <w:bookmarkEnd w:id="8"/>
    </w:p>
    <w:p w:rsidR="00E20E33" w:rsidRPr="00E20E33" w:rsidRDefault="00E20E33" w:rsidP="00E20E33">
      <w:pPr>
        <w:pStyle w:val="ListParagraph"/>
        <w:ind w:left="567"/>
        <w:rPr>
          <w:lang w:eastAsia="en-US"/>
        </w:rPr>
      </w:pPr>
      <w:r w:rsidRPr="00E20E33">
        <w:rPr>
          <w:rFonts w:asciiTheme="minorHAnsi" w:hAnsiTheme="minorHAnsi"/>
          <w:color w:val="auto"/>
          <w:szCs w:val="22"/>
        </w:rPr>
        <w:t>An offer of shares to which this notice applies that would not otherwise require disclosure under Part 3 of the Act only because of the exclusion in clause 6 of Schedule 1 of the Act does require disclosure under Part 3.</w:t>
      </w:r>
    </w:p>
    <w:p w:rsidR="009934FA" w:rsidRDefault="009934FA" w:rsidP="00E5302D">
      <w:pPr>
        <w:pStyle w:val="Heading1"/>
        <w:numPr>
          <w:ilvl w:val="0"/>
          <w:numId w:val="9"/>
        </w:numPr>
        <w:ind w:left="567" w:hanging="567"/>
      </w:pPr>
      <w:bookmarkStart w:id="9" w:name="_Toc473296206"/>
      <w:r>
        <w:t>Application</w:t>
      </w:r>
      <w:bookmarkEnd w:id="9"/>
      <w:r w:rsidR="00263460">
        <w:t xml:space="preserve"> </w:t>
      </w:r>
    </w:p>
    <w:p w:rsidR="00AE68A3" w:rsidRDefault="00E20E33" w:rsidP="00AE68A3">
      <w:pPr>
        <w:pStyle w:val="Default"/>
        <w:tabs>
          <w:tab w:val="left" w:pos="567"/>
        </w:tabs>
        <w:snapToGrid w:val="0"/>
        <w:spacing w:after="120"/>
        <w:ind w:left="567"/>
        <w:jc w:val="both"/>
        <w:rPr>
          <w:rFonts w:asciiTheme="minorHAnsi" w:hAnsiTheme="minorHAnsi"/>
          <w:bCs/>
          <w:sz w:val="22"/>
          <w:szCs w:val="22"/>
        </w:rPr>
      </w:pPr>
      <w:r w:rsidRPr="006A4FC2">
        <w:rPr>
          <w:rFonts w:asciiTheme="minorHAnsi" w:hAnsiTheme="minorHAnsi"/>
          <w:bCs/>
          <w:sz w:val="22"/>
          <w:szCs w:val="22"/>
        </w:rPr>
        <w:t>This notice applies to s</w:t>
      </w:r>
      <w:r>
        <w:rPr>
          <w:rFonts w:asciiTheme="minorHAnsi" w:hAnsiTheme="minorHAnsi"/>
          <w:bCs/>
          <w:sz w:val="22"/>
          <w:szCs w:val="22"/>
        </w:rPr>
        <w:t>hares</w:t>
      </w:r>
      <w:r w:rsidRPr="006A4FC2">
        <w:rPr>
          <w:rFonts w:asciiTheme="minorHAnsi" w:hAnsiTheme="minorHAnsi"/>
          <w:bCs/>
          <w:sz w:val="22"/>
          <w:szCs w:val="22"/>
        </w:rPr>
        <w:t xml:space="preserve"> </w:t>
      </w:r>
      <w:r w:rsidR="00AE68A3">
        <w:rPr>
          <w:rFonts w:asciiTheme="minorHAnsi" w:hAnsiTheme="minorHAnsi"/>
          <w:bCs/>
          <w:sz w:val="22"/>
          <w:szCs w:val="22"/>
        </w:rPr>
        <w:t>only if—</w:t>
      </w:r>
    </w:p>
    <w:p w:rsidR="00E20E33" w:rsidRDefault="00E20E33" w:rsidP="00330593">
      <w:pPr>
        <w:pStyle w:val="Default"/>
        <w:numPr>
          <w:ilvl w:val="0"/>
          <w:numId w:val="21"/>
        </w:numPr>
        <w:tabs>
          <w:tab w:val="left" w:pos="567"/>
        </w:tabs>
        <w:snapToGrid w:val="0"/>
        <w:spacing w:after="120"/>
        <w:ind w:left="1134" w:hanging="567"/>
        <w:jc w:val="both"/>
        <w:rPr>
          <w:rFonts w:asciiTheme="minorHAnsi" w:hAnsiTheme="minorHAnsi"/>
          <w:bCs/>
          <w:sz w:val="22"/>
          <w:szCs w:val="22"/>
        </w:rPr>
      </w:pPr>
      <w:r>
        <w:rPr>
          <w:rFonts w:asciiTheme="minorHAnsi" w:hAnsiTheme="minorHAnsi"/>
          <w:bCs/>
          <w:sz w:val="22"/>
          <w:szCs w:val="22"/>
        </w:rPr>
        <w:t>the shares are issued after the commencement of this notice by an investment company; and</w:t>
      </w:r>
    </w:p>
    <w:p w:rsidR="00E20E33" w:rsidRPr="00E20E33" w:rsidRDefault="00E20E33" w:rsidP="00330593">
      <w:pPr>
        <w:pStyle w:val="Default"/>
        <w:numPr>
          <w:ilvl w:val="0"/>
          <w:numId w:val="21"/>
        </w:numPr>
        <w:tabs>
          <w:tab w:val="left" w:pos="567"/>
        </w:tabs>
        <w:snapToGrid w:val="0"/>
        <w:spacing w:after="120"/>
        <w:ind w:left="1134" w:hanging="567"/>
        <w:jc w:val="both"/>
        <w:rPr>
          <w:lang w:eastAsia="en-US"/>
        </w:rPr>
      </w:pPr>
      <w:r>
        <w:rPr>
          <w:rFonts w:asciiTheme="minorHAnsi" w:hAnsiTheme="minorHAnsi"/>
          <w:bCs/>
          <w:sz w:val="22"/>
          <w:szCs w:val="22"/>
        </w:rPr>
        <w:t>either or both of clauses 7 and 9 apply.</w:t>
      </w:r>
    </w:p>
    <w:p w:rsidR="00E20E33" w:rsidRPr="008357A6" w:rsidRDefault="00E20E33" w:rsidP="00114732">
      <w:pPr>
        <w:pStyle w:val="ListParagraph"/>
        <w:keepNext/>
        <w:numPr>
          <w:ilvl w:val="0"/>
          <w:numId w:val="9"/>
        </w:numPr>
        <w:ind w:left="567" w:hanging="567"/>
        <w:outlineLvl w:val="0"/>
        <w:rPr>
          <w:lang w:eastAsia="en-US"/>
        </w:rPr>
      </w:pPr>
      <w:bookmarkStart w:id="10" w:name="_Toc473296207"/>
      <w:r>
        <w:rPr>
          <w:b/>
          <w:lang w:eastAsia="en-US"/>
        </w:rPr>
        <w:t>Powers of shareholders</w:t>
      </w:r>
      <w:bookmarkEnd w:id="10"/>
    </w:p>
    <w:p w:rsidR="008357A6" w:rsidRDefault="008357A6" w:rsidP="00114732">
      <w:pPr>
        <w:pStyle w:val="Default"/>
        <w:keepNext/>
        <w:numPr>
          <w:ilvl w:val="0"/>
          <w:numId w:val="10"/>
        </w:numPr>
        <w:tabs>
          <w:tab w:val="left" w:pos="1134"/>
        </w:tabs>
        <w:snapToGrid w:val="0"/>
        <w:spacing w:after="120"/>
        <w:ind w:left="567" w:hanging="567"/>
        <w:jc w:val="both"/>
        <w:rPr>
          <w:rFonts w:asciiTheme="minorHAnsi" w:hAnsiTheme="minorHAnsi"/>
          <w:bCs/>
          <w:sz w:val="22"/>
          <w:szCs w:val="22"/>
        </w:rPr>
      </w:pPr>
      <w:r>
        <w:rPr>
          <w:rFonts w:asciiTheme="minorHAnsi" w:hAnsiTheme="minorHAnsi"/>
          <w:bCs/>
          <w:sz w:val="22"/>
          <w:szCs w:val="22"/>
        </w:rPr>
        <w:t xml:space="preserve">This clause applies if </w:t>
      </w:r>
      <w:r w:rsidRPr="006B0D0C">
        <w:rPr>
          <w:rFonts w:asciiTheme="minorHAnsi" w:hAnsiTheme="minorHAnsi"/>
          <w:bCs/>
          <w:sz w:val="22"/>
          <w:szCs w:val="22"/>
        </w:rPr>
        <w:t xml:space="preserve">the </w:t>
      </w:r>
      <w:r>
        <w:rPr>
          <w:rFonts w:asciiTheme="minorHAnsi" w:hAnsiTheme="minorHAnsi"/>
          <w:bCs/>
          <w:sz w:val="22"/>
          <w:szCs w:val="22"/>
        </w:rPr>
        <w:t>terms of any</w:t>
      </w:r>
      <w:r w:rsidRPr="006B0D0C">
        <w:rPr>
          <w:rFonts w:asciiTheme="minorHAnsi" w:hAnsiTheme="minorHAnsi"/>
          <w:bCs/>
          <w:sz w:val="22"/>
          <w:szCs w:val="22"/>
        </w:rPr>
        <w:t xml:space="preserve"> offer</w:t>
      </w:r>
      <w:r>
        <w:rPr>
          <w:rFonts w:asciiTheme="minorHAnsi" w:hAnsiTheme="minorHAnsi"/>
          <w:bCs/>
          <w:sz w:val="22"/>
          <w:szCs w:val="22"/>
        </w:rPr>
        <w:t xml:space="preserve"> of the shares or the investment company’s constitution</w:t>
      </w:r>
      <w:r w:rsidRPr="006B0D0C">
        <w:rPr>
          <w:rFonts w:asciiTheme="minorHAnsi" w:hAnsiTheme="minorHAnsi"/>
          <w:bCs/>
          <w:sz w:val="22"/>
          <w:szCs w:val="22"/>
        </w:rPr>
        <w:t xml:space="preserve"> </w:t>
      </w:r>
      <w:r>
        <w:rPr>
          <w:rFonts w:asciiTheme="minorHAnsi" w:hAnsiTheme="minorHAnsi"/>
          <w:bCs/>
          <w:sz w:val="22"/>
          <w:szCs w:val="22"/>
        </w:rPr>
        <w:t>has the effect of 1 or more of the following:</w:t>
      </w:r>
    </w:p>
    <w:p w:rsidR="008357A6" w:rsidRDefault="008357A6" w:rsidP="008357A6">
      <w:pPr>
        <w:pStyle w:val="Default"/>
        <w:numPr>
          <w:ilvl w:val="0"/>
          <w:numId w:val="11"/>
        </w:numPr>
        <w:tabs>
          <w:tab w:val="left" w:pos="1134"/>
        </w:tabs>
        <w:snapToGrid w:val="0"/>
        <w:spacing w:after="120"/>
        <w:ind w:left="1134" w:hanging="567"/>
        <w:jc w:val="both"/>
        <w:rPr>
          <w:rFonts w:asciiTheme="minorHAnsi" w:hAnsiTheme="minorHAnsi"/>
          <w:bCs/>
          <w:sz w:val="22"/>
          <w:szCs w:val="22"/>
        </w:rPr>
      </w:pPr>
      <w:r>
        <w:rPr>
          <w:rFonts w:asciiTheme="minorHAnsi" w:hAnsiTheme="minorHAnsi"/>
          <w:bCs/>
          <w:sz w:val="22"/>
          <w:szCs w:val="22"/>
        </w:rPr>
        <w:t>the shares do not confer on the holder all of the rights set out in section 36(1)(a) of the Companies Act 1993:</w:t>
      </w:r>
    </w:p>
    <w:p w:rsidR="008357A6" w:rsidRDefault="008357A6" w:rsidP="008357A6">
      <w:pPr>
        <w:pStyle w:val="Default"/>
        <w:numPr>
          <w:ilvl w:val="0"/>
          <w:numId w:val="11"/>
        </w:numPr>
        <w:tabs>
          <w:tab w:val="left" w:pos="1134"/>
        </w:tabs>
        <w:snapToGrid w:val="0"/>
        <w:spacing w:after="120"/>
        <w:ind w:left="1134" w:hanging="567"/>
        <w:jc w:val="both"/>
        <w:rPr>
          <w:rFonts w:asciiTheme="minorHAnsi" w:hAnsiTheme="minorHAnsi"/>
          <w:bCs/>
          <w:sz w:val="22"/>
          <w:szCs w:val="22"/>
        </w:rPr>
      </w:pPr>
      <w:r w:rsidRPr="006D5EE8">
        <w:rPr>
          <w:rFonts w:asciiTheme="minorHAnsi" w:hAnsiTheme="minorHAnsi"/>
          <w:bCs/>
          <w:sz w:val="22"/>
          <w:szCs w:val="22"/>
        </w:rPr>
        <w:lastRenderedPageBreak/>
        <w:t xml:space="preserve">a director </w:t>
      </w:r>
      <w:r>
        <w:rPr>
          <w:rFonts w:asciiTheme="minorHAnsi" w:hAnsiTheme="minorHAnsi"/>
          <w:bCs/>
          <w:sz w:val="22"/>
          <w:szCs w:val="22"/>
        </w:rPr>
        <w:t>of the investment company can</w:t>
      </w:r>
      <w:r w:rsidRPr="006D5EE8">
        <w:rPr>
          <w:rFonts w:asciiTheme="minorHAnsi" w:hAnsiTheme="minorHAnsi"/>
          <w:bCs/>
          <w:sz w:val="22"/>
          <w:szCs w:val="22"/>
        </w:rPr>
        <w:t xml:space="preserve"> be appointed or removed other than by a resolution of shareholders</w:t>
      </w:r>
      <w:r w:rsidR="0058662D">
        <w:rPr>
          <w:rFonts w:asciiTheme="minorHAnsi" w:hAnsiTheme="minorHAnsi"/>
          <w:bCs/>
          <w:sz w:val="22"/>
          <w:szCs w:val="22"/>
        </w:rPr>
        <w:t>:</w:t>
      </w:r>
    </w:p>
    <w:p w:rsidR="008357A6" w:rsidRPr="00787456" w:rsidRDefault="008357A6" w:rsidP="008357A6">
      <w:pPr>
        <w:pStyle w:val="Default"/>
        <w:numPr>
          <w:ilvl w:val="0"/>
          <w:numId w:val="11"/>
        </w:numPr>
        <w:tabs>
          <w:tab w:val="left" w:pos="1134"/>
        </w:tabs>
        <w:snapToGrid w:val="0"/>
        <w:spacing w:after="120"/>
        <w:ind w:left="1134" w:hanging="567"/>
        <w:jc w:val="both"/>
        <w:rPr>
          <w:rFonts w:asciiTheme="minorHAnsi" w:hAnsiTheme="minorHAnsi"/>
          <w:bCs/>
          <w:sz w:val="22"/>
          <w:szCs w:val="22"/>
        </w:rPr>
      </w:pPr>
      <w:r w:rsidRPr="00787456">
        <w:rPr>
          <w:rFonts w:asciiTheme="minorHAnsi" w:hAnsiTheme="minorHAnsi"/>
          <w:bCs/>
          <w:sz w:val="22"/>
          <w:szCs w:val="22"/>
        </w:rPr>
        <w:t xml:space="preserve">the rights of any holder of shares to vote on a resolution to appoint or remove a director </w:t>
      </w:r>
      <w:r>
        <w:rPr>
          <w:rFonts w:asciiTheme="minorHAnsi" w:hAnsiTheme="minorHAnsi"/>
          <w:bCs/>
          <w:sz w:val="22"/>
          <w:szCs w:val="22"/>
        </w:rPr>
        <w:t>are</w:t>
      </w:r>
      <w:r w:rsidRPr="00787456">
        <w:rPr>
          <w:rFonts w:asciiTheme="minorHAnsi" w:hAnsiTheme="minorHAnsi"/>
          <w:bCs/>
          <w:sz w:val="22"/>
          <w:szCs w:val="22"/>
        </w:rPr>
        <w:t xml:space="preserve"> disproportionate to the amount to be paid for the shares</w:t>
      </w:r>
      <w:r>
        <w:rPr>
          <w:rFonts w:asciiTheme="minorHAnsi" w:hAnsiTheme="minorHAnsi"/>
          <w:bCs/>
          <w:sz w:val="22"/>
          <w:szCs w:val="22"/>
        </w:rPr>
        <w:t xml:space="preserve"> when calculated using the formula in clause 8</w:t>
      </w:r>
      <w:r w:rsidRPr="00787456">
        <w:rPr>
          <w:rFonts w:asciiTheme="minorHAnsi" w:hAnsiTheme="minorHAnsi"/>
          <w:bCs/>
          <w:sz w:val="22"/>
          <w:szCs w:val="22"/>
        </w:rPr>
        <w:t>.</w:t>
      </w:r>
    </w:p>
    <w:p w:rsidR="008357A6" w:rsidRPr="008357A6" w:rsidRDefault="008357A6" w:rsidP="0058662D">
      <w:pPr>
        <w:pStyle w:val="Style2"/>
        <w:numPr>
          <w:ilvl w:val="0"/>
          <w:numId w:val="10"/>
        </w:numPr>
        <w:shd w:val="clear" w:color="auto" w:fill="auto"/>
        <w:spacing w:before="120" w:line="240" w:lineRule="auto"/>
        <w:ind w:left="567" w:hanging="567"/>
        <w:jc w:val="both"/>
        <w:rPr>
          <w:sz w:val="22"/>
          <w:szCs w:val="22"/>
        </w:rPr>
      </w:pPr>
      <w:r w:rsidRPr="00787456">
        <w:rPr>
          <w:sz w:val="22"/>
          <w:szCs w:val="22"/>
        </w:rPr>
        <w:t>Subclause (</w:t>
      </w:r>
      <w:r>
        <w:rPr>
          <w:sz w:val="22"/>
          <w:szCs w:val="22"/>
        </w:rPr>
        <w:t>1</w:t>
      </w:r>
      <w:r w:rsidRPr="00787456">
        <w:rPr>
          <w:sz w:val="22"/>
          <w:szCs w:val="22"/>
        </w:rPr>
        <w:t>)(b) does not apply</w:t>
      </w:r>
      <w:r>
        <w:rPr>
          <w:sz w:val="22"/>
          <w:szCs w:val="22"/>
        </w:rPr>
        <w:t>—</w:t>
      </w:r>
      <w:r w:rsidRPr="008357A6">
        <w:rPr>
          <w:sz w:val="22"/>
          <w:szCs w:val="22"/>
        </w:rPr>
        <w:t xml:space="preserve"> </w:t>
      </w:r>
    </w:p>
    <w:p w:rsidR="008357A6" w:rsidRDefault="008357A6" w:rsidP="0058662D">
      <w:pPr>
        <w:pStyle w:val="Style2"/>
        <w:numPr>
          <w:ilvl w:val="0"/>
          <w:numId w:val="29"/>
        </w:numPr>
        <w:shd w:val="clear" w:color="auto" w:fill="auto"/>
        <w:spacing w:before="120" w:line="240" w:lineRule="auto"/>
        <w:ind w:left="1134" w:hanging="567"/>
        <w:jc w:val="both"/>
        <w:rPr>
          <w:sz w:val="22"/>
          <w:szCs w:val="22"/>
        </w:rPr>
      </w:pPr>
      <w:r>
        <w:rPr>
          <w:sz w:val="22"/>
          <w:szCs w:val="22"/>
        </w:rPr>
        <w:t xml:space="preserve">if the </w:t>
      </w:r>
      <w:r w:rsidRPr="00752256">
        <w:rPr>
          <w:sz w:val="22"/>
          <w:szCs w:val="22"/>
        </w:rPr>
        <w:t>director</w:t>
      </w:r>
      <w:r>
        <w:rPr>
          <w:sz w:val="22"/>
          <w:szCs w:val="22"/>
        </w:rPr>
        <w:t xml:space="preserve"> appointment is made under sections 153(1) or 154 of the Companies Act 1993; or </w:t>
      </w:r>
    </w:p>
    <w:p w:rsidR="008357A6" w:rsidRPr="005A5EE3" w:rsidRDefault="008357A6" w:rsidP="0058662D">
      <w:pPr>
        <w:pStyle w:val="Style2"/>
        <w:numPr>
          <w:ilvl w:val="0"/>
          <w:numId w:val="29"/>
        </w:numPr>
        <w:shd w:val="clear" w:color="auto" w:fill="auto"/>
        <w:spacing w:before="120" w:line="240" w:lineRule="auto"/>
        <w:ind w:left="1134" w:hanging="567"/>
        <w:jc w:val="both"/>
        <w:rPr>
          <w:sz w:val="22"/>
          <w:szCs w:val="22"/>
        </w:rPr>
      </w:pPr>
      <w:r w:rsidRPr="00787456">
        <w:rPr>
          <w:sz w:val="22"/>
          <w:szCs w:val="22"/>
        </w:rPr>
        <w:t>if the director appointment is to fill a vacancy arising after an annual meeting of shareholders (</w:t>
      </w:r>
      <w:r w:rsidRPr="00A963E3">
        <w:rPr>
          <w:b/>
          <w:sz w:val="22"/>
          <w:szCs w:val="22"/>
        </w:rPr>
        <w:t>annual meeting</w:t>
      </w:r>
      <w:r w:rsidRPr="00787456">
        <w:rPr>
          <w:sz w:val="22"/>
          <w:szCs w:val="22"/>
        </w:rPr>
        <w:t>)</w:t>
      </w:r>
      <w:r w:rsidRPr="00787456">
        <w:rPr>
          <w:rFonts w:asciiTheme="minorHAnsi" w:hAnsiTheme="minorHAnsi"/>
          <w:bCs/>
          <w:sz w:val="22"/>
          <w:szCs w:val="22"/>
        </w:rPr>
        <w:t xml:space="preserve">, provided that </w:t>
      </w:r>
      <w:r>
        <w:rPr>
          <w:rFonts w:asciiTheme="minorHAnsi" w:hAnsiTheme="minorHAnsi"/>
          <w:bCs/>
          <w:sz w:val="22"/>
          <w:szCs w:val="22"/>
        </w:rPr>
        <w:t xml:space="preserve">the terms of the appointment or the investment company’s constitution requires that </w:t>
      </w:r>
      <w:r w:rsidRPr="00787456">
        <w:rPr>
          <w:rFonts w:asciiTheme="minorHAnsi" w:hAnsiTheme="minorHAnsi"/>
          <w:bCs/>
          <w:sz w:val="22"/>
          <w:szCs w:val="22"/>
        </w:rPr>
        <w:t xml:space="preserve">the director </w:t>
      </w:r>
      <w:r>
        <w:rPr>
          <w:rFonts w:asciiTheme="minorHAnsi" w:hAnsiTheme="minorHAnsi"/>
          <w:bCs/>
          <w:sz w:val="22"/>
          <w:szCs w:val="22"/>
        </w:rPr>
        <w:t xml:space="preserve">must </w:t>
      </w:r>
      <w:r w:rsidRPr="005A5EE3">
        <w:rPr>
          <w:rFonts w:asciiTheme="minorHAnsi" w:hAnsiTheme="minorHAnsi"/>
          <w:bCs/>
          <w:sz w:val="22"/>
          <w:szCs w:val="22"/>
        </w:rPr>
        <w:t xml:space="preserve">retire </w:t>
      </w:r>
      <w:r>
        <w:rPr>
          <w:rFonts w:asciiTheme="minorHAnsi" w:hAnsiTheme="minorHAnsi"/>
          <w:bCs/>
          <w:sz w:val="22"/>
          <w:szCs w:val="22"/>
        </w:rPr>
        <w:t xml:space="preserve">(but can be reappointed by shareholders) </w:t>
      </w:r>
      <w:r w:rsidRPr="005A5EE3">
        <w:rPr>
          <w:rFonts w:asciiTheme="minorHAnsi" w:hAnsiTheme="minorHAnsi"/>
          <w:bCs/>
          <w:sz w:val="22"/>
          <w:szCs w:val="22"/>
        </w:rPr>
        <w:t>at the first annual meeting after their appointment.</w:t>
      </w:r>
      <w:r w:rsidR="00263460">
        <w:rPr>
          <w:rFonts w:asciiTheme="minorHAnsi" w:hAnsiTheme="minorHAnsi"/>
          <w:bCs/>
          <w:sz w:val="22"/>
          <w:szCs w:val="22"/>
        </w:rPr>
        <w:t xml:space="preserve"> </w:t>
      </w:r>
    </w:p>
    <w:p w:rsidR="008357A6" w:rsidRPr="008357A6" w:rsidRDefault="008357A6" w:rsidP="00255E09">
      <w:pPr>
        <w:pStyle w:val="ListParagraph"/>
        <w:keepNext/>
        <w:numPr>
          <w:ilvl w:val="0"/>
          <w:numId w:val="9"/>
        </w:numPr>
        <w:ind w:left="567" w:hanging="567"/>
        <w:outlineLvl w:val="0"/>
        <w:rPr>
          <w:lang w:eastAsia="en-US"/>
        </w:rPr>
      </w:pPr>
      <w:bookmarkStart w:id="11" w:name="_Toc473296208"/>
      <w:r w:rsidRPr="00255E09">
        <w:rPr>
          <w:b/>
          <w:lang w:eastAsia="en-US"/>
        </w:rPr>
        <w:t>Calculation of disproportionate voting rights</w:t>
      </w:r>
      <w:bookmarkEnd w:id="11"/>
    </w:p>
    <w:p w:rsidR="008357A6" w:rsidRPr="00321D7A" w:rsidRDefault="00321D7A" w:rsidP="00321D7A">
      <w:pPr>
        <w:pStyle w:val="Default"/>
        <w:keepNext/>
        <w:numPr>
          <w:ilvl w:val="0"/>
          <w:numId w:val="30"/>
        </w:numPr>
        <w:shd w:val="clear" w:color="auto" w:fill="FFFFFF" w:themeFill="background1"/>
        <w:tabs>
          <w:tab w:val="left" w:pos="567"/>
        </w:tabs>
        <w:snapToGrid w:val="0"/>
        <w:spacing w:after="120"/>
        <w:ind w:left="567" w:hanging="567"/>
        <w:jc w:val="both"/>
        <w:rPr>
          <w:rFonts w:asciiTheme="minorHAnsi" w:hAnsiTheme="minorHAnsi"/>
          <w:bCs/>
          <w:sz w:val="22"/>
          <w:szCs w:val="22"/>
        </w:rPr>
      </w:pPr>
      <w:r w:rsidRPr="00A55D66">
        <w:rPr>
          <w:rFonts w:asciiTheme="minorHAnsi" w:hAnsiTheme="minorHAnsi"/>
          <w:bCs/>
          <w:noProof/>
          <w:sz w:val="22"/>
          <w:szCs w:val="22"/>
          <w:lang w:eastAsia="en-NZ"/>
        </w:rPr>
        <mc:AlternateContent>
          <mc:Choice Requires="wps">
            <w:drawing>
              <wp:anchor distT="0" distB="0" distL="114300" distR="114300" simplePos="0" relativeHeight="251659264" behindDoc="0" locked="0" layoutInCell="1" allowOverlap="1" wp14:anchorId="355347CF" wp14:editId="0676D540">
                <wp:simplePos x="0" y="0"/>
                <wp:positionH relativeFrom="column">
                  <wp:posOffset>2694940</wp:posOffset>
                </wp:positionH>
                <wp:positionV relativeFrom="paragraph">
                  <wp:posOffset>687705</wp:posOffset>
                </wp:positionV>
                <wp:extent cx="333375" cy="508635"/>
                <wp:effectExtent l="0" t="0" r="9525"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508635"/>
                        </a:xfrm>
                        <a:prstGeom prst="rect">
                          <a:avLst/>
                        </a:prstGeom>
                        <a:solidFill>
                          <a:srgbClr val="FFFFFF"/>
                        </a:solidFill>
                        <a:ln w="9525">
                          <a:noFill/>
                          <a:miter lim="800000"/>
                          <a:headEnd/>
                          <a:tailEnd/>
                        </a:ln>
                      </wps:spPr>
                      <wps:txbx>
                        <w:txbxContent>
                          <w:p w:rsidR="008357A6" w:rsidRPr="00F2681A" w:rsidRDefault="008357A6" w:rsidP="008357A6">
                            <w:pPr>
                              <w:rPr>
                                <w:sz w:val="28"/>
                              </w:rPr>
                            </w:pPr>
                            <w:r w:rsidRPr="00F2681A">
                              <w:rPr>
                                <w:sz w:val="28"/>
                              </w:rPr>
                              <w:t>&gt;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5347CF" id="_x0000_t202" coordsize="21600,21600" o:spt="202" path="m,l,21600r21600,l21600,xe">
                <v:stroke joinstyle="miter"/>
                <v:path gradientshapeok="t" o:connecttype="rect"/>
              </v:shapetype>
              <v:shape id="Text Box 2" o:spid="_x0000_s1026" type="#_x0000_t202" style="position:absolute;left:0;text-align:left;margin-left:212.2pt;margin-top:54.15pt;width:26.25pt;height:4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" stroked="f">
                <v:textbox>
                  <w:txbxContent>
                    <w:p w:rsidR="008357A6" w:rsidRPr="00F2681A" w:rsidRDefault="008357A6" w:rsidP="008357A6">
                      <w:pPr>
                        <w:rPr>
                          <w:sz w:val="28"/>
                        </w:rPr>
                      </w:pPr>
                      <w:r w:rsidRPr="00F2681A">
                        <w:rPr>
                          <w:sz w:val="28"/>
                        </w:rPr>
                        <w:t>&gt;</w:t>
                      </w:r>
                    </w:p>
                  </w:txbxContent>
                </v:textbox>
              </v:shape>
            </w:pict>
          </mc:Fallback>
        </mc:AlternateContent>
      </w:r>
      <w:r w:rsidR="008357A6" w:rsidRPr="00A55D66">
        <w:rPr>
          <w:rFonts w:asciiTheme="minorHAnsi" w:hAnsiTheme="minorHAnsi"/>
          <w:bCs/>
          <w:sz w:val="22"/>
          <w:szCs w:val="22"/>
        </w:rPr>
        <w:t xml:space="preserve">In clause 7(1)(c) the reference to rights to vote being </w:t>
      </w:r>
      <w:r w:rsidR="008357A6" w:rsidRPr="00A55D66">
        <w:rPr>
          <w:rFonts w:asciiTheme="minorHAnsi" w:hAnsiTheme="minorHAnsi"/>
          <w:b/>
          <w:bCs/>
          <w:sz w:val="22"/>
          <w:szCs w:val="22"/>
        </w:rPr>
        <w:t xml:space="preserve">disproportionate to the amount to be paid for the shares </w:t>
      </w:r>
      <w:r w:rsidR="008357A6" w:rsidRPr="00A55D66">
        <w:rPr>
          <w:rFonts w:asciiTheme="minorHAnsi" w:hAnsiTheme="minorHAnsi"/>
          <w:bCs/>
          <w:sz w:val="22"/>
          <w:szCs w:val="22"/>
        </w:rPr>
        <w:t xml:space="preserve">means the </w:t>
      </w:r>
      <w:r w:rsidR="00C148B3">
        <w:rPr>
          <w:rFonts w:asciiTheme="minorHAnsi" w:hAnsiTheme="minorHAnsi"/>
          <w:bCs/>
          <w:sz w:val="22"/>
          <w:szCs w:val="22"/>
        </w:rPr>
        <w:t>cost of the voting rights attached to the shares offered is disproportionately high when compared to the average cost of all voting rights on issue, calculated using the following formula—</w:t>
      </w:r>
    </w:p>
    <w:p w:rsidR="008357A6" w:rsidRPr="00A55D66" w:rsidRDefault="008357A6" w:rsidP="008357A6">
      <w:pPr>
        <w:keepNext/>
        <w:spacing w:after="0"/>
        <w:ind w:left="1276" w:right="170"/>
        <w:rPr>
          <w:rFonts w:asciiTheme="minorHAnsi" w:eastAsiaTheme="minorHAnsi" w:hAnsiTheme="minorHAnsi" w:cstheme="minorBidi"/>
          <w:i/>
          <w:color w:val="000000" w:themeColor="text1"/>
          <w:szCs w:val="22"/>
          <w:u w:val="single"/>
          <w:lang w:val="en-US" w:eastAsia="en-US"/>
        </w:rPr>
      </w:pPr>
      <w:r w:rsidRPr="00A55D66">
        <w:rPr>
          <w:rFonts w:asciiTheme="minorHAnsi" w:eastAsiaTheme="minorHAnsi" w:hAnsiTheme="minorHAnsi" w:cstheme="minorBidi"/>
          <w:i/>
          <w:color w:val="000000" w:themeColor="text1"/>
          <w:szCs w:val="22"/>
          <w:u w:val="single"/>
          <w:lang w:val="en-US" w:eastAsia="en-US"/>
        </w:rPr>
        <w:t>offer price per share</w:t>
      </w:r>
      <w:r w:rsidRPr="00A55D66">
        <w:rPr>
          <w:rFonts w:asciiTheme="minorHAnsi" w:eastAsiaTheme="minorHAnsi" w:hAnsiTheme="minorHAnsi" w:cstheme="minorBidi"/>
          <w:i/>
          <w:color w:val="000000" w:themeColor="text1"/>
          <w:szCs w:val="22"/>
          <w:u w:val="single"/>
          <w:lang w:val="en-US" w:eastAsia="en-US"/>
        </w:rPr>
        <w:tab/>
      </w:r>
      <w:r w:rsidRPr="00A55D66">
        <w:rPr>
          <w:rFonts w:asciiTheme="minorHAnsi" w:eastAsiaTheme="minorHAnsi" w:hAnsiTheme="minorHAnsi" w:cstheme="minorBidi"/>
          <w:i/>
          <w:color w:val="000000" w:themeColor="text1"/>
          <w:szCs w:val="22"/>
          <w:u w:val="single"/>
          <w:lang w:val="en-US" w:eastAsia="en-US"/>
        </w:rPr>
        <w:tab/>
      </w:r>
      <w:r w:rsidRPr="00A55D66">
        <w:rPr>
          <w:rFonts w:asciiTheme="minorHAnsi" w:eastAsiaTheme="minorHAnsi" w:hAnsiTheme="minorHAnsi" w:cstheme="minorBidi"/>
          <w:i/>
          <w:color w:val="000000" w:themeColor="text1"/>
          <w:szCs w:val="22"/>
          <w:lang w:val="en-US" w:eastAsia="en-US"/>
        </w:rPr>
        <w:tab/>
      </w:r>
      <w:r w:rsidRPr="00A55D66">
        <w:rPr>
          <w:rFonts w:asciiTheme="minorHAnsi" w:eastAsiaTheme="minorHAnsi" w:hAnsiTheme="minorHAnsi" w:cstheme="minorBidi"/>
          <w:i/>
          <w:color w:val="000000" w:themeColor="text1"/>
          <w:szCs w:val="22"/>
          <w:lang w:val="en-US" w:eastAsia="en-US"/>
        </w:rPr>
        <w:tab/>
      </w:r>
      <w:r w:rsidRPr="00A55D66">
        <w:rPr>
          <w:rFonts w:asciiTheme="minorHAnsi" w:eastAsiaTheme="minorHAnsi" w:hAnsiTheme="minorHAnsi" w:cstheme="minorBidi"/>
          <w:i/>
          <w:color w:val="000000" w:themeColor="text1"/>
          <w:szCs w:val="22"/>
          <w:u w:val="single"/>
          <w:lang w:val="en-US" w:eastAsia="en-US"/>
        </w:rPr>
        <w:t>total equity</w:t>
      </w:r>
      <w:r>
        <w:rPr>
          <w:rFonts w:asciiTheme="minorHAnsi" w:eastAsiaTheme="minorHAnsi" w:hAnsiTheme="minorHAnsi" w:cstheme="minorBidi"/>
          <w:i/>
          <w:color w:val="000000" w:themeColor="text1"/>
          <w:szCs w:val="22"/>
          <w:u w:val="single"/>
          <w:lang w:val="en-US" w:eastAsia="en-US"/>
        </w:rPr>
        <w:t xml:space="preserve"> </w:t>
      </w:r>
    </w:p>
    <w:p w:rsidR="008357A6" w:rsidRPr="00A55D66" w:rsidRDefault="008357A6" w:rsidP="00330593">
      <w:pPr>
        <w:spacing w:before="0" w:after="160"/>
        <w:ind w:left="1276" w:right="170"/>
        <w:rPr>
          <w:rFonts w:asciiTheme="minorHAnsi" w:eastAsiaTheme="minorHAnsi" w:hAnsiTheme="minorHAnsi" w:cstheme="minorBidi"/>
          <w:i/>
          <w:color w:val="000000" w:themeColor="text1"/>
          <w:szCs w:val="22"/>
          <w:lang w:val="en-US" w:eastAsia="en-US"/>
        </w:rPr>
      </w:pPr>
      <w:r w:rsidRPr="00A55D66">
        <w:rPr>
          <w:rFonts w:asciiTheme="minorHAnsi" w:eastAsiaTheme="minorHAnsi" w:hAnsiTheme="minorHAnsi" w:cstheme="minorBidi"/>
          <w:i/>
          <w:color w:val="000000" w:themeColor="text1"/>
          <w:szCs w:val="22"/>
          <w:lang w:val="en-US" w:eastAsia="en-US"/>
        </w:rPr>
        <w:t>voting rights per share offered</w:t>
      </w:r>
      <w:r w:rsidRPr="00A55D66">
        <w:rPr>
          <w:rFonts w:asciiTheme="minorHAnsi" w:eastAsiaTheme="minorHAnsi" w:hAnsiTheme="minorHAnsi" w:cstheme="minorBidi"/>
          <w:i/>
          <w:color w:val="000000" w:themeColor="text1"/>
          <w:szCs w:val="22"/>
          <w:lang w:val="en-US" w:eastAsia="en-US"/>
        </w:rPr>
        <w:tab/>
      </w:r>
      <w:r w:rsidRPr="00A55D66">
        <w:rPr>
          <w:rFonts w:asciiTheme="minorHAnsi" w:eastAsiaTheme="minorHAnsi" w:hAnsiTheme="minorHAnsi" w:cstheme="minorBidi"/>
          <w:i/>
          <w:color w:val="000000" w:themeColor="text1"/>
          <w:szCs w:val="22"/>
          <w:lang w:val="en-US" w:eastAsia="en-US"/>
        </w:rPr>
        <w:tab/>
        <w:t>total voting rights</w:t>
      </w:r>
    </w:p>
    <w:p w:rsidR="008357A6" w:rsidRPr="00BA504B" w:rsidRDefault="008357A6" w:rsidP="008357A6">
      <w:pPr>
        <w:pStyle w:val="ListParagraph"/>
        <w:numPr>
          <w:ilvl w:val="0"/>
          <w:numId w:val="30"/>
        </w:numPr>
        <w:spacing w:before="0" w:after="160"/>
        <w:ind w:left="567" w:right="170" w:hanging="567"/>
        <w:rPr>
          <w:rFonts w:asciiTheme="minorHAnsi" w:eastAsiaTheme="minorHAnsi" w:hAnsiTheme="minorHAnsi" w:cstheme="minorBidi"/>
          <w:color w:val="000000" w:themeColor="text1"/>
          <w:szCs w:val="22"/>
          <w:lang w:val="en-US" w:eastAsia="en-US"/>
        </w:rPr>
      </w:pPr>
      <w:r>
        <w:rPr>
          <w:rFonts w:asciiTheme="minorHAnsi" w:eastAsiaTheme="minorHAnsi" w:hAnsiTheme="minorHAnsi" w:cstheme="minorBidi"/>
          <w:color w:val="000000" w:themeColor="text1"/>
          <w:szCs w:val="22"/>
          <w:lang w:val="en-US" w:eastAsia="en-US"/>
        </w:rPr>
        <w:t>In the formula—</w:t>
      </w:r>
    </w:p>
    <w:p w:rsidR="008357A6" w:rsidRDefault="008357A6" w:rsidP="008357A6">
      <w:pPr>
        <w:pStyle w:val="ListParagraph"/>
        <w:numPr>
          <w:ilvl w:val="0"/>
          <w:numId w:val="31"/>
        </w:numPr>
        <w:spacing w:before="0" w:after="160"/>
        <w:ind w:left="1134" w:right="170" w:hanging="567"/>
        <w:rPr>
          <w:rFonts w:asciiTheme="minorHAnsi" w:eastAsiaTheme="minorHAnsi" w:hAnsiTheme="minorHAnsi" w:cstheme="minorBidi"/>
          <w:color w:val="000000" w:themeColor="text1"/>
          <w:szCs w:val="22"/>
          <w:lang w:val="en-US" w:eastAsia="en-US"/>
        </w:rPr>
      </w:pPr>
      <w:r>
        <w:rPr>
          <w:rFonts w:asciiTheme="minorHAnsi" w:eastAsiaTheme="minorHAnsi" w:hAnsiTheme="minorHAnsi" w:cstheme="minorBidi"/>
          <w:b/>
          <w:color w:val="000000" w:themeColor="text1"/>
          <w:szCs w:val="22"/>
          <w:lang w:val="en-US" w:eastAsia="en-US"/>
        </w:rPr>
        <w:t>total equity</w:t>
      </w:r>
      <w:r>
        <w:rPr>
          <w:rFonts w:asciiTheme="minorHAnsi" w:eastAsiaTheme="minorHAnsi" w:hAnsiTheme="minorHAnsi" w:cstheme="minorBidi"/>
          <w:color w:val="000000" w:themeColor="text1"/>
          <w:szCs w:val="22"/>
          <w:lang w:val="en-US" w:eastAsia="en-US"/>
        </w:rPr>
        <w:t xml:space="preserve"> means a reasonable estimate of the total equity of the investment company immediately following the issue of the shares; and</w:t>
      </w:r>
    </w:p>
    <w:p w:rsidR="008357A6" w:rsidRDefault="008357A6" w:rsidP="000C5D01">
      <w:pPr>
        <w:pStyle w:val="ListParagraph"/>
        <w:numPr>
          <w:ilvl w:val="0"/>
          <w:numId w:val="31"/>
        </w:numPr>
        <w:spacing w:before="0" w:after="160"/>
        <w:ind w:left="1134" w:right="170" w:hanging="567"/>
        <w:rPr>
          <w:rFonts w:asciiTheme="minorHAnsi" w:eastAsiaTheme="minorHAnsi" w:hAnsiTheme="minorHAnsi" w:cstheme="minorBidi"/>
          <w:color w:val="000000" w:themeColor="text1"/>
          <w:szCs w:val="22"/>
          <w:lang w:val="en-US" w:eastAsia="en-US"/>
        </w:rPr>
      </w:pPr>
      <w:r>
        <w:rPr>
          <w:rFonts w:asciiTheme="minorHAnsi" w:eastAsiaTheme="minorHAnsi" w:hAnsiTheme="minorHAnsi" w:cstheme="minorBidi"/>
          <w:b/>
          <w:color w:val="000000" w:themeColor="text1"/>
          <w:szCs w:val="22"/>
          <w:lang w:val="en-US" w:eastAsia="en-US"/>
        </w:rPr>
        <w:t>total voting rights</w:t>
      </w:r>
      <w:r>
        <w:rPr>
          <w:rFonts w:asciiTheme="minorHAnsi" w:eastAsiaTheme="minorHAnsi" w:hAnsiTheme="minorHAnsi" w:cstheme="minorBidi"/>
          <w:color w:val="000000" w:themeColor="text1"/>
          <w:szCs w:val="22"/>
          <w:lang w:val="en-US" w:eastAsia="en-US"/>
        </w:rPr>
        <w:t xml:space="preserve"> means a reasonable estima</w:t>
      </w:r>
      <w:r w:rsidR="00A8286A">
        <w:rPr>
          <w:rFonts w:asciiTheme="minorHAnsi" w:eastAsiaTheme="minorHAnsi" w:hAnsiTheme="minorHAnsi" w:cstheme="minorBidi"/>
          <w:color w:val="000000" w:themeColor="text1"/>
          <w:szCs w:val="22"/>
          <w:lang w:val="en-US" w:eastAsia="en-US"/>
        </w:rPr>
        <w:t>te of the total voting rights attached to all shares on</w:t>
      </w:r>
      <w:r>
        <w:rPr>
          <w:rFonts w:asciiTheme="minorHAnsi" w:eastAsiaTheme="minorHAnsi" w:hAnsiTheme="minorHAnsi" w:cstheme="minorBidi"/>
          <w:color w:val="000000" w:themeColor="text1"/>
          <w:szCs w:val="22"/>
          <w:lang w:val="en-US" w:eastAsia="en-US"/>
        </w:rPr>
        <w:t xml:space="preserve"> issue in the investment company immediately following the issue of the shares.</w:t>
      </w:r>
    </w:p>
    <w:p w:rsidR="000C5D01" w:rsidRPr="000C5D01" w:rsidRDefault="000C5D01" w:rsidP="000C5D01">
      <w:pPr>
        <w:pStyle w:val="ListParagraph"/>
        <w:pBdr>
          <w:bottom w:val="single" w:sz="4" w:space="1" w:color="auto"/>
        </w:pBdr>
        <w:spacing w:before="0" w:after="160"/>
        <w:ind w:left="567" w:right="170"/>
        <w:rPr>
          <w:rFonts w:asciiTheme="minorHAnsi" w:eastAsiaTheme="minorHAnsi" w:hAnsiTheme="minorHAnsi" w:cstheme="minorBidi"/>
          <w:color w:val="000000" w:themeColor="text1"/>
          <w:szCs w:val="22"/>
          <w:lang w:val="en-US" w:eastAsia="en-US"/>
        </w:rPr>
      </w:pPr>
    </w:p>
    <w:p w:rsidR="008357A6" w:rsidRDefault="008357A6" w:rsidP="008357A6">
      <w:pPr>
        <w:pStyle w:val="Default"/>
        <w:tabs>
          <w:tab w:val="left" w:pos="567"/>
        </w:tabs>
        <w:snapToGrid w:val="0"/>
        <w:spacing w:after="120"/>
        <w:ind w:left="567"/>
        <w:jc w:val="both"/>
        <w:rPr>
          <w:b/>
          <w:sz w:val="20"/>
          <w:szCs w:val="22"/>
        </w:rPr>
      </w:pPr>
      <w:r w:rsidRPr="006B2C7B">
        <w:rPr>
          <w:b/>
          <w:sz w:val="20"/>
          <w:szCs w:val="22"/>
        </w:rPr>
        <w:t>Example</w:t>
      </w:r>
    </w:p>
    <w:p w:rsidR="008357A6" w:rsidRDefault="008357A6" w:rsidP="008357A6">
      <w:pPr>
        <w:pStyle w:val="Default"/>
        <w:tabs>
          <w:tab w:val="left" w:pos="567"/>
        </w:tabs>
        <w:snapToGrid w:val="0"/>
        <w:spacing w:after="120"/>
        <w:ind w:left="567"/>
        <w:jc w:val="both"/>
        <w:rPr>
          <w:i/>
          <w:sz w:val="20"/>
          <w:szCs w:val="22"/>
        </w:rPr>
      </w:pPr>
      <w:r>
        <w:rPr>
          <w:i/>
          <w:sz w:val="20"/>
          <w:szCs w:val="22"/>
        </w:rPr>
        <w:t>Example 1</w:t>
      </w:r>
    </w:p>
    <w:p w:rsidR="00A8286A" w:rsidRPr="00A8286A" w:rsidRDefault="00A8286A" w:rsidP="00A8286A">
      <w:pPr>
        <w:pStyle w:val="Default"/>
        <w:tabs>
          <w:tab w:val="left" w:pos="567"/>
        </w:tabs>
        <w:snapToGrid w:val="0"/>
        <w:spacing w:after="120"/>
        <w:ind w:left="567"/>
        <w:jc w:val="both"/>
        <w:rPr>
          <w:b/>
          <w:sz w:val="20"/>
          <w:szCs w:val="22"/>
        </w:rPr>
      </w:pPr>
      <w:r>
        <w:rPr>
          <w:sz w:val="20"/>
          <w:szCs w:val="22"/>
        </w:rPr>
        <w:t>ABC Limited</w:t>
      </w:r>
      <w:r w:rsidR="00AE638B">
        <w:rPr>
          <w:sz w:val="20"/>
          <w:szCs w:val="22"/>
        </w:rPr>
        <w:t xml:space="preserve"> (an investment company)</w:t>
      </w:r>
      <w:r>
        <w:rPr>
          <w:sz w:val="20"/>
          <w:szCs w:val="22"/>
        </w:rPr>
        <w:t xml:space="preserve"> is seeking to raise $25,000</w:t>
      </w:r>
      <w:r w:rsidR="00AE638B">
        <w:rPr>
          <w:sz w:val="20"/>
          <w:szCs w:val="22"/>
        </w:rPr>
        <w:t xml:space="preserve"> by issuing 1,000 shares</w:t>
      </w:r>
      <w:r>
        <w:rPr>
          <w:sz w:val="20"/>
          <w:szCs w:val="22"/>
        </w:rPr>
        <w:t xml:space="preserve">.  The company offers Class B shares to investors for $25 per share.  Each share confers 1/10 of a vote on a resolution to appoint or remove a director.  </w:t>
      </w:r>
    </w:p>
    <w:p w:rsidR="008357A6" w:rsidRDefault="00AE638B" w:rsidP="008357A6">
      <w:pPr>
        <w:pStyle w:val="Default"/>
        <w:tabs>
          <w:tab w:val="left" w:pos="567"/>
        </w:tabs>
        <w:snapToGrid w:val="0"/>
        <w:spacing w:after="120"/>
        <w:ind w:left="567"/>
        <w:jc w:val="both"/>
        <w:rPr>
          <w:sz w:val="20"/>
          <w:szCs w:val="22"/>
        </w:rPr>
      </w:pPr>
      <w:r>
        <w:rPr>
          <w:sz w:val="20"/>
          <w:szCs w:val="22"/>
        </w:rPr>
        <w:t xml:space="preserve">Prior to the offer, </w:t>
      </w:r>
      <w:r w:rsidR="008357A6">
        <w:rPr>
          <w:sz w:val="20"/>
          <w:szCs w:val="22"/>
        </w:rPr>
        <w:t>ABC Limited has 750 Class A shares on issue, held by the founders of the company.  Each share confers 1 vote on a resolution to appoint or remove a director.  The equity of the company</w:t>
      </w:r>
      <w:r>
        <w:rPr>
          <w:sz w:val="20"/>
          <w:szCs w:val="22"/>
        </w:rPr>
        <w:t xml:space="preserve"> prior to the offer</w:t>
      </w:r>
      <w:r w:rsidR="008357A6">
        <w:rPr>
          <w:sz w:val="20"/>
          <w:szCs w:val="22"/>
        </w:rPr>
        <w:t xml:space="preserve"> is $750.</w:t>
      </w:r>
    </w:p>
    <w:p w:rsidR="008357A6" w:rsidRDefault="008357A6" w:rsidP="008357A6">
      <w:pPr>
        <w:pStyle w:val="Default"/>
        <w:tabs>
          <w:tab w:val="left" w:pos="567"/>
        </w:tabs>
        <w:snapToGrid w:val="0"/>
        <w:spacing w:after="120"/>
        <w:ind w:left="567"/>
        <w:jc w:val="both"/>
        <w:rPr>
          <w:sz w:val="20"/>
          <w:szCs w:val="22"/>
        </w:rPr>
      </w:pPr>
      <w:r>
        <w:rPr>
          <w:sz w:val="20"/>
          <w:szCs w:val="22"/>
        </w:rPr>
        <w:t>The formula is:</w:t>
      </w:r>
    </w:p>
    <w:p w:rsidR="008357A6" w:rsidRDefault="0058662D" w:rsidP="008357A6">
      <w:pPr>
        <w:pStyle w:val="Default"/>
        <w:tabs>
          <w:tab w:val="left" w:pos="567"/>
        </w:tabs>
        <w:snapToGrid w:val="0"/>
        <w:spacing w:after="120"/>
        <w:ind w:left="567"/>
        <w:jc w:val="both"/>
        <w:rPr>
          <w:sz w:val="20"/>
          <w:szCs w:val="22"/>
        </w:rPr>
      </w:pPr>
      <w:r>
        <w:rPr>
          <w:sz w:val="20"/>
          <w:szCs w:val="22"/>
        </w:rPr>
        <w:t xml:space="preserve">25/0.1 = </w:t>
      </w:r>
      <w:r w:rsidR="008357A6">
        <w:rPr>
          <w:sz w:val="20"/>
          <w:szCs w:val="22"/>
        </w:rPr>
        <w:t>250</w:t>
      </w:r>
    </w:p>
    <w:p w:rsidR="008357A6" w:rsidRPr="00A8286A" w:rsidRDefault="00A8286A" w:rsidP="008357A6">
      <w:pPr>
        <w:pStyle w:val="Default"/>
        <w:tabs>
          <w:tab w:val="left" w:pos="567"/>
        </w:tabs>
        <w:snapToGrid w:val="0"/>
        <w:spacing w:after="120"/>
        <w:ind w:left="567"/>
        <w:jc w:val="both"/>
        <w:rPr>
          <w:b/>
          <w:sz w:val="20"/>
          <w:szCs w:val="22"/>
        </w:rPr>
      </w:pPr>
      <w:r>
        <w:rPr>
          <w:sz w:val="20"/>
          <w:szCs w:val="22"/>
        </w:rPr>
        <w:t>(</w:t>
      </w:r>
      <w:r w:rsidR="008357A6">
        <w:rPr>
          <w:sz w:val="20"/>
          <w:szCs w:val="22"/>
        </w:rPr>
        <w:t>25,000</w:t>
      </w:r>
      <w:r>
        <w:rPr>
          <w:sz w:val="20"/>
          <w:szCs w:val="22"/>
        </w:rPr>
        <w:t xml:space="preserve"> + 750) / (</w:t>
      </w:r>
      <w:r w:rsidR="008357A6">
        <w:rPr>
          <w:sz w:val="20"/>
          <w:szCs w:val="22"/>
        </w:rPr>
        <w:t>(1000*0.1)</w:t>
      </w:r>
      <w:r w:rsidR="0058662D">
        <w:rPr>
          <w:sz w:val="20"/>
          <w:szCs w:val="22"/>
        </w:rPr>
        <w:t xml:space="preserve"> </w:t>
      </w:r>
      <w:r>
        <w:rPr>
          <w:sz w:val="20"/>
          <w:szCs w:val="22"/>
        </w:rPr>
        <w:t>+ 750</w:t>
      </w:r>
      <w:r w:rsidR="0058662D">
        <w:rPr>
          <w:sz w:val="20"/>
          <w:szCs w:val="22"/>
        </w:rPr>
        <w:t xml:space="preserve">) = </w:t>
      </w:r>
      <w:r w:rsidR="008357A6">
        <w:rPr>
          <w:sz w:val="20"/>
          <w:szCs w:val="22"/>
        </w:rPr>
        <w:t>30</w:t>
      </w:r>
      <w:r w:rsidR="00820296">
        <w:rPr>
          <w:sz w:val="20"/>
          <w:szCs w:val="22"/>
        </w:rPr>
        <w:t xml:space="preserve"> </w:t>
      </w:r>
    </w:p>
    <w:p w:rsidR="008357A6" w:rsidRDefault="008357A6" w:rsidP="008209E9">
      <w:pPr>
        <w:pStyle w:val="Default"/>
        <w:tabs>
          <w:tab w:val="left" w:pos="567"/>
        </w:tabs>
        <w:snapToGrid w:val="0"/>
        <w:spacing w:after="120"/>
        <w:ind w:left="567"/>
        <w:jc w:val="both"/>
        <w:rPr>
          <w:sz w:val="20"/>
          <w:szCs w:val="22"/>
        </w:rPr>
      </w:pPr>
      <w:r>
        <w:rPr>
          <w:sz w:val="20"/>
          <w:szCs w:val="22"/>
        </w:rPr>
        <w:t xml:space="preserve">1 voting right will cost an investor $250.  This is disproportionately high when compared to $30, being </w:t>
      </w:r>
      <w:r w:rsidR="00AE638B">
        <w:rPr>
          <w:sz w:val="20"/>
          <w:szCs w:val="22"/>
        </w:rPr>
        <w:t xml:space="preserve">the average </w:t>
      </w:r>
      <w:r w:rsidR="001859C8">
        <w:rPr>
          <w:sz w:val="20"/>
          <w:szCs w:val="22"/>
        </w:rPr>
        <w:t>cost of</w:t>
      </w:r>
      <w:r w:rsidR="00137DE6">
        <w:rPr>
          <w:sz w:val="20"/>
          <w:szCs w:val="22"/>
        </w:rPr>
        <w:t xml:space="preserve"> a</w:t>
      </w:r>
      <w:r w:rsidR="001859C8">
        <w:rPr>
          <w:sz w:val="20"/>
          <w:szCs w:val="22"/>
        </w:rPr>
        <w:t xml:space="preserve"> voting right</w:t>
      </w:r>
      <w:r w:rsidR="00765856">
        <w:rPr>
          <w:sz w:val="20"/>
          <w:szCs w:val="22"/>
        </w:rPr>
        <w:t>.</w:t>
      </w:r>
    </w:p>
    <w:p w:rsidR="008357A6" w:rsidRDefault="008357A6" w:rsidP="008209E9">
      <w:pPr>
        <w:pStyle w:val="Default"/>
        <w:tabs>
          <w:tab w:val="left" w:pos="567"/>
        </w:tabs>
        <w:snapToGrid w:val="0"/>
        <w:spacing w:after="120"/>
        <w:ind w:left="567"/>
        <w:jc w:val="both"/>
        <w:rPr>
          <w:i/>
          <w:sz w:val="20"/>
          <w:szCs w:val="22"/>
        </w:rPr>
      </w:pPr>
      <w:r>
        <w:rPr>
          <w:i/>
          <w:sz w:val="20"/>
          <w:szCs w:val="22"/>
        </w:rPr>
        <w:t>Example 2</w:t>
      </w:r>
    </w:p>
    <w:p w:rsidR="00A8286A" w:rsidRDefault="00A8286A" w:rsidP="008209E9">
      <w:pPr>
        <w:pStyle w:val="Default"/>
        <w:tabs>
          <w:tab w:val="left" w:pos="567"/>
        </w:tabs>
        <w:snapToGrid w:val="0"/>
        <w:spacing w:after="120"/>
        <w:ind w:left="567"/>
        <w:jc w:val="both"/>
        <w:rPr>
          <w:sz w:val="20"/>
          <w:szCs w:val="22"/>
        </w:rPr>
      </w:pPr>
      <w:r>
        <w:rPr>
          <w:sz w:val="20"/>
          <w:szCs w:val="22"/>
        </w:rPr>
        <w:t>XYZ Limited</w:t>
      </w:r>
      <w:r w:rsidR="001859C8">
        <w:rPr>
          <w:sz w:val="20"/>
          <w:szCs w:val="22"/>
        </w:rPr>
        <w:t xml:space="preserve"> (an investment company)</w:t>
      </w:r>
      <w:r>
        <w:rPr>
          <w:sz w:val="20"/>
          <w:szCs w:val="22"/>
        </w:rPr>
        <w:t xml:space="preserve"> is seeking to raise $25,000</w:t>
      </w:r>
      <w:r w:rsidR="001859C8">
        <w:rPr>
          <w:sz w:val="20"/>
          <w:szCs w:val="22"/>
        </w:rPr>
        <w:t xml:space="preserve"> by issuing 25,000 shares</w:t>
      </w:r>
      <w:r>
        <w:rPr>
          <w:sz w:val="20"/>
          <w:szCs w:val="22"/>
        </w:rPr>
        <w:t>.  The company offers shares to investors for $1 per share.  Each share confers 1 vote on a resolution to appoint or remove a director.</w:t>
      </w:r>
    </w:p>
    <w:p w:rsidR="008357A6" w:rsidRDefault="001859C8" w:rsidP="008209E9">
      <w:pPr>
        <w:pStyle w:val="Default"/>
        <w:tabs>
          <w:tab w:val="left" w:pos="567"/>
        </w:tabs>
        <w:snapToGrid w:val="0"/>
        <w:spacing w:after="120"/>
        <w:ind w:left="567"/>
        <w:jc w:val="both"/>
        <w:rPr>
          <w:sz w:val="20"/>
          <w:szCs w:val="22"/>
        </w:rPr>
      </w:pPr>
      <w:r>
        <w:rPr>
          <w:sz w:val="20"/>
          <w:szCs w:val="22"/>
        </w:rPr>
        <w:lastRenderedPageBreak/>
        <w:t xml:space="preserve">Prior to the offer, </w:t>
      </w:r>
      <w:r w:rsidR="008357A6">
        <w:rPr>
          <w:sz w:val="20"/>
          <w:szCs w:val="22"/>
        </w:rPr>
        <w:t xml:space="preserve">XYZ Limited has 750 shares on issue, held by the founders of the company.  Each share confers 1 vote on a resolution to appoint or remove a director.  The equity of the company </w:t>
      </w:r>
      <w:r>
        <w:rPr>
          <w:sz w:val="20"/>
          <w:szCs w:val="22"/>
        </w:rPr>
        <w:t xml:space="preserve">prior to the offer </w:t>
      </w:r>
      <w:r w:rsidR="008357A6">
        <w:rPr>
          <w:sz w:val="20"/>
          <w:szCs w:val="22"/>
        </w:rPr>
        <w:t>is $750.</w:t>
      </w:r>
    </w:p>
    <w:p w:rsidR="008357A6" w:rsidRDefault="008357A6" w:rsidP="00255E09">
      <w:pPr>
        <w:pStyle w:val="Default"/>
        <w:keepNext/>
        <w:tabs>
          <w:tab w:val="left" w:pos="567"/>
        </w:tabs>
        <w:snapToGrid w:val="0"/>
        <w:spacing w:after="120"/>
        <w:ind w:left="567"/>
        <w:jc w:val="both"/>
        <w:rPr>
          <w:sz w:val="20"/>
          <w:szCs w:val="22"/>
        </w:rPr>
      </w:pPr>
      <w:r>
        <w:rPr>
          <w:sz w:val="20"/>
          <w:szCs w:val="22"/>
        </w:rPr>
        <w:t>The formula is:</w:t>
      </w:r>
    </w:p>
    <w:p w:rsidR="008357A6" w:rsidRDefault="008357A6" w:rsidP="00255E09">
      <w:pPr>
        <w:pStyle w:val="Default"/>
        <w:tabs>
          <w:tab w:val="left" w:pos="567"/>
        </w:tabs>
        <w:snapToGrid w:val="0"/>
        <w:spacing w:after="120"/>
        <w:ind w:left="567"/>
        <w:jc w:val="both"/>
        <w:rPr>
          <w:sz w:val="20"/>
          <w:szCs w:val="22"/>
        </w:rPr>
      </w:pPr>
      <w:r>
        <w:rPr>
          <w:sz w:val="20"/>
          <w:szCs w:val="22"/>
        </w:rPr>
        <w:t>1/1 = 1</w:t>
      </w:r>
    </w:p>
    <w:p w:rsidR="008357A6" w:rsidRPr="00385EC8" w:rsidRDefault="00A8286A" w:rsidP="008357A6">
      <w:pPr>
        <w:pStyle w:val="Default"/>
        <w:pBdr>
          <w:bottom w:val="single" w:sz="6" w:space="1" w:color="auto"/>
        </w:pBdr>
        <w:tabs>
          <w:tab w:val="left" w:pos="567"/>
        </w:tabs>
        <w:snapToGrid w:val="0"/>
        <w:spacing w:after="120"/>
        <w:ind w:left="567"/>
        <w:jc w:val="both"/>
        <w:rPr>
          <w:sz w:val="20"/>
          <w:szCs w:val="22"/>
        </w:rPr>
      </w:pPr>
      <w:r>
        <w:rPr>
          <w:sz w:val="20"/>
          <w:szCs w:val="22"/>
        </w:rPr>
        <w:t>(</w:t>
      </w:r>
      <w:r w:rsidR="008357A6">
        <w:rPr>
          <w:sz w:val="20"/>
          <w:szCs w:val="22"/>
        </w:rPr>
        <w:t>25,000</w:t>
      </w:r>
      <w:r>
        <w:rPr>
          <w:sz w:val="20"/>
          <w:szCs w:val="22"/>
        </w:rPr>
        <w:t>+750) / (</w:t>
      </w:r>
      <w:r w:rsidR="008357A6">
        <w:rPr>
          <w:sz w:val="20"/>
          <w:szCs w:val="22"/>
        </w:rPr>
        <w:t>25,000</w:t>
      </w:r>
      <w:r>
        <w:rPr>
          <w:sz w:val="20"/>
          <w:szCs w:val="22"/>
        </w:rPr>
        <w:t>+750</w:t>
      </w:r>
      <w:r w:rsidR="008357A6">
        <w:rPr>
          <w:sz w:val="20"/>
          <w:szCs w:val="22"/>
        </w:rPr>
        <w:t>) = 1</w:t>
      </w:r>
    </w:p>
    <w:p w:rsidR="008357A6" w:rsidRDefault="008357A6" w:rsidP="00AE638B">
      <w:pPr>
        <w:pStyle w:val="Default"/>
        <w:pBdr>
          <w:bottom w:val="single" w:sz="6" w:space="1" w:color="auto"/>
        </w:pBdr>
        <w:tabs>
          <w:tab w:val="left" w:pos="567"/>
        </w:tabs>
        <w:snapToGrid w:val="0"/>
        <w:spacing w:after="120"/>
        <w:ind w:left="567"/>
        <w:jc w:val="both"/>
        <w:rPr>
          <w:rFonts w:asciiTheme="minorHAnsi" w:eastAsiaTheme="minorHAnsi" w:hAnsiTheme="minorHAnsi" w:cstheme="minorBidi"/>
          <w:color w:val="000000" w:themeColor="text1"/>
          <w:szCs w:val="22"/>
          <w:lang w:val="en-US" w:eastAsia="en-US"/>
        </w:rPr>
      </w:pPr>
      <w:r>
        <w:rPr>
          <w:sz w:val="20"/>
          <w:szCs w:val="22"/>
        </w:rPr>
        <w:t>1 voting right will cost an inv</w:t>
      </w:r>
      <w:r w:rsidR="00A8286A">
        <w:rPr>
          <w:sz w:val="20"/>
          <w:szCs w:val="22"/>
        </w:rPr>
        <w:t>estor $1.  This is equal to the avera</w:t>
      </w:r>
      <w:r w:rsidR="001859C8">
        <w:rPr>
          <w:sz w:val="20"/>
          <w:szCs w:val="22"/>
        </w:rPr>
        <w:t xml:space="preserve">ge cost of </w:t>
      </w:r>
      <w:r w:rsidR="00137DE6">
        <w:rPr>
          <w:sz w:val="20"/>
          <w:szCs w:val="22"/>
        </w:rPr>
        <w:t>a voting right</w:t>
      </w:r>
      <w:r w:rsidR="00765856">
        <w:rPr>
          <w:sz w:val="20"/>
          <w:szCs w:val="22"/>
        </w:rPr>
        <w:t>.</w:t>
      </w:r>
    </w:p>
    <w:p w:rsidR="008357A6" w:rsidRPr="008357A6" w:rsidRDefault="008357A6" w:rsidP="008357A6">
      <w:pPr>
        <w:pStyle w:val="ListParagraph"/>
        <w:ind w:left="567"/>
        <w:rPr>
          <w:lang w:eastAsia="en-US"/>
        </w:rPr>
      </w:pPr>
    </w:p>
    <w:p w:rsidR="008357A6" w:rsidRPr="008357A6" w:rsidRDefault="008357A6" w:rsidP="00330593">
      <w:pPr>
        <w:pStyle w:val="ListParagraph"/>
        <w:keepNext/>
        <w:numPr>
          <w:ilvl w:val="0"/>
          <w:numId w:val="9"/>
        </w:numPr>
        <w:ind w:left="567" w:hanging="567"/>
        <w:outlineLvl w:val="0"/>
        <w:rPr>
          <w:lang w:eastAsia="en-US"/>
        </w:rPr>
      </w:pPr>
      <w:bookmarkStart w:id="12" w:name="_Toc473296209"/>
      <w:r>
        <w:rPr>
          <w:b/>
          <w:lang w:eastAsia="en-US"/>
        </w:rPr>
        <w:t>Key service provider arrangements</w:t>
      </w:r>
      <w:bookmarkEnd w:id="12"/>
    </w:p>
    <w:p w:rsidR="008357A6" w:rsidRPr="008357A6" w:rsidRDefault="008357A6" w:rsidP="008357A6">
      <w:pPr>
        <w:pStyle w:val="Default"/>
        <w:numPr>
          <w:ilvl w:val="1"/>
          <w:numId w:val="9"/>
        </w:numPr>
        <w:tabs>
          <w:tab w:val="left" w:pos="567"/>
        </w:tabs>
        <w:snapToGrid w:val="0"/>
        <w:spacing w:after="120"/>
        <w:ind w:left="567" w:hanging="567"/>
        <w:jc w:val="both"/>
        <w:rPr>
          <w:rFonts w:asciiTheme="minorHAnsi" w:hAnsiTheme="minorHAnsi"/>
          <w:bCs/>
          <w:sz w:val="22"/>
          <w:szCs w:val="22"/>
        </w:rPr>
      </w:pPr>
      <w:r w:rsidRPr="00787456">
        <w:rPr>
          <w:rFonts w:asciiTheme="minorHAnsi" w:hAnsiTheme="minorHAnsi"/>
          <w:bCs/>
          <w:sz w:val="22"/>
          <w:szCs w:val="22"/>
        </w:rPr>
        <w:t>This clause applies if the investment company (</w:t>
      </w:r>
      <w:r w:rsidRPr="00787456">
        <w:rPr>
          <w:rFonts w:asciiTheme="minorHAnsi" w:hAnsiTheme="minorHAnsi"/>
          <w:b/>
          <w:bCs/>
          <w:sz w:val="22"/>
          <w:szCs w:val="22"/>
        </w:rPr>
        <w:t>A</w:t>
      </w:r>
      <w:r w:rsidRPr="00787456">
        <w:rPr>
          <w:rFonts w:asciiTheme="minorHAnsi" w:hAnsiTheme="minorHAnsi"/>
          <w:bCs/>
          <w:sz w:val="22"/>
          <w:szCs w:val="22"/>
        </w:rPr>
        <w:t>) has entered into, or has agreed to enter into, a contract for services (</w:t>
      </w:r>
      <w:r w:rsidRPr="006C6D82">
        <w:rPr>
          <w:rFonts w:asciiTheme="minorHAnsi" w:hAnsiTheme="minorHAnsi"/>
          <w:b/>
          <w:bCs/>
          <w:sz w:val="22"/>
          <w:szCs w:val="22"/>
        </w:rPr>
        <w:t>services agreement</w:t>
      </w:r>
      <w:r w:rsidRPr="005A5EE3">
        <w:rPr>
          <w:rFonts w:asciiTheme="minorHAnsi" w:hAnsiTheme="minorHAnsi"/>
          <w:bCs/>
          <w:sz w:val="22"/>
          <w:szCs w:val="22"/>
        </w:rPr>
        <w:t>) with a key service provider (</w:t>
      </w:r>
      <w:r w:rsidRPr="005A5EE3">
        <w:rPr>
          <w:rFonts w:asciiTheme="minorHAnsi" w:hAnsiTheme="minorHAnsi"/>
          <w:b/>
          <w:bCs/>
          <w:sz w:val="22"/>
          <w:szCs w:val="22"/>
        </w:rPr>
        <w:t>B</w:t>
      </w:r>
      <w:r w:rsidRPr="005A5EE3">
        <w:rPr>
          <w:rFonts w:asciiTheme="minorHAnsi" w:hAnsiTheme="minorHAnsi"/>
          <w:bCs/>
          <w:sz w:val="22"/>
          <w:szCs w:val="22"/>
        </w:rPr>
        <w:t>) and either</w:t>
      </w:r>
      <w:r w:rsidRPr="00762708">
        <w:rPr>
          <w:rFonts w:asciiTheme="minorHAnsi" w:hAnsiTheme="minorHAnsi"/>
          <w:bCs/>
          <w:sz w:val="22"/>
          <w:szCs w:val="22"/>
        </w:rPr>
        <w:t xml:space="preserve"> </w:t>
      </w:r>
      <w:r>
        <w:rPr>
          <w:rFonts w:asciiTheme="minorHAnsi" w:hAnsiTheme="minorHAnsi"/>
          <w:bCs/>
          <w:sz w:val="22"/>
          <w:szCs w:val="22"/>
        </w:rPr>
        <w:t>or both of the following applies—</w:t>
      </w:r>
    </w:p>
    <w:p w:rsidR="008357A6" w:rsidRDefault="008357A6" w:rsidP="00330593">
      <w:pPr>
        <w:pStyle w:val="Default"/>
        <w:numPr>
          <w:ilvl w:val="0"/>
          <w:numId w:val="13"/>
        </w:numPr>
        <w:tabs>
          <w:tab w:val="left" w:pos="567"/>
        </w:tabs>
        <w:snapToGrid w:val="0"/>
        <w:spacing w:after="120"/>
        <w:ind w:left="1134" w:hanging="567"/>
        <w:jc w:val="both"/>
        <w:rPr>
          <w:rFonts w:asciiTheme="minorHAnsi" w:hAnsiTheme="minorHAnsi"/>
          <w:bCs/>
          <w:sz w:val="22"/>
          <w:szCs w:val="22"/>
        </w:rPr>
      </w:pPr>
      <w:r>
        <w:rPr>
          <w:rFonts w:asciiTheme="minorHAnsi" w:hAnsiTheme="minorHAnsi"/>
          <w:bCs/>
          <w:sz w:val="22"/>
          <w:szCs w:val="22"/>
        </w:rPr>
        <w:t xml:space="preserve">B owns or controls assets that: </w:t>
      </w:r>
    </w:p>
    <w:p w:rsidR="008357A6" w:rsidRDefault="008357A6" w:rsidP="00330593">
      <w:pPr>
        <w:pStyle w:val="Default"/>
        <w:numPr>
          <w:ilvl w:val="0"/>
          <w:numId w:val="33"/>
        </w:numPr>
        <w:tabs>
          <w:tab w:val="left" w:pos="567"/>
        </w:tabs>
        <w:snapToGrid w:val="0"/>
        <w:spacing w:after="120"/>
        <w:ind w:hanging="513"/>
        <w:jc w:val="both"/>
        <w:rPr>
          <w:rFonts w:asciiTheme="minorHAnsi" w:hAnsiTheme="minorHAnsi"/>
          <w:bCs/>
          <w:sz w:val="22"/>
          <w:szCs w:val="22"/>
        </w:rPr>
      </w:pPr>
      <w:r>
        <w:rPr>
          <w:rFonts w:asciiTheme="minorHAnsi" w:hAnsiTheme="minorHAnsi"/>
          <w:bCs/>
          <w:sz w:val="22"/>
          <w:szCs w:val="22"/>
        </w:rPr>
        <w:t xml:space="preserve">are material to the operation of A’s primary business; and </w:t>
      </w:r>
    </w:p>
    <w:p w:rsidR="008357A6" w:rsidRPr="00822F39" w:rsidRDefault="008357A6" w:rsidP="00330593">
      <w:pPr>
        <w:pStyle w:val="Default"/>
        <w:numPr>
          <w:ilvl w:val="0"/>
          <w:numId w:val="33"/>
        </w:numPr>
        <w:tabs>
          <w:tab w:val="left" w:pos="567"/>
        </w:tabs>
        <w:snapToGrid w:val="0"/>
        <w:spacing w:after="120"/>
        <w:ind w:hanging="513"/>
        <w:jc w:val="both"/>
        <w:rPr>
          <w:rFonts w:asciiTheme="minorHAnsi" w:hAnsiTheme="minorHAnsi"/>
          <w:bCs/>
          <w:sz w:val="22"/>
          <w:szCs w:val="22"/>
        </w:rPr>
      </w:pPr>
      <w:r>
        <w:rPr>
          <w:rFonts w:asciiTheme="minorHAnsi" w:hAnsiTheme="minorHAnsi"/>
          <w:bCs/>
          <w:sz w:val="22"/>
          <w:szCs w:val="22"/>
        </w:rPr>
        <w:t>that A could not reasonably obtain for materially similar cost from another person on arm’s-length terms if the services agreement with B is terminated:</w:t>
      </w:r>
      <w:r w:rsidR="00263460">
        <w:rPr>
          <w:rFonts w:asciiTheme="minorHAnsi" w:hAnsiTheme="minorHAnsi"/>
          <w:bCs/>
          <w:sz w:val="22"/>
          <w:szCs w:val="22"/>
        </w:rPr>
        <w:t xml:space="preserve"> </w:t>
      </w:r>
    </w:p>
    <w:p w:rsidR="008357A6" w:rsidRPr="003B56A8" w:rsidRDefault="008357A6" w:rsidP="00330593">
      <w:pPr>
        <w:pStyle w:val="Default"/>
        <w:numPr>
          <w:ilvl w:val="0"/>
          <w:numId w:val="13"/>
        </w:numPr>
        <w:tabs>
          <w:tab w:val="left" w:pos="567"/>
        </w:tabs>
        <w:snapToGrid w:val="0"/>
        <w:spacing w:after="120"/>
        <w:ind w:left="1134" w:hanging="567"/>
        <w:jc w:val="both"/>
        <w:rPr>
          <w:rFonts w:asciiTheme="minorHAnsi" w:hAnsiTheme="minorHAnsi"/>
          <w:bCs/>
          <w:sz w:val="22"/>
          <w:szCs w:val="22"/>
        </w:rPr>
      </w:pPr>
      <w:r>
        <w:rPr>
          <w:rFonts w:asciiTheme="minorHAnsi" w:hAnsiTheme="minorHAnsi"/>
          <w:bCs/>
          <w:sz w:val="22"/>
          <w:szCs w:val="22"/>
        </w:rPr>
        <w:t>the services agreement—</w:t>
      </w:r>
    </w:p>
    <w:p w:rsidR="008357A6" w:rsidRPr="000763A5" w:rsidRDefault="008357A6" w:rsidP="00330593">
      <w:pPr>
        <w:pStyle w:val="Default"/>
        <w:numPr>
          <w:ilvl w:val="0"/>
          <w:numId w:val="14"/>
        </w:numPr>
        <w:tabs>
          <w:tab w:val="left" w:pos="567"/>
        </w:tabs>
        <w:snapToGrid w:val="0"/>
        <w:spacing w:after="120"/>
        <w:ind w:left="1701" w:hanging="567"/>
        <w:jc w:val="both"/>
        <w:rPr>
          <w:rFonts w:asciiTheme="minorHAnsi" w:hAnsiTheme="minorHAnsi"/>
          <w:bCs/>
          <w:sz w:val="22"/>
          <w:szCs w:val="22"/>
        </w:rPr>
      </w:pPr>
      <w:r w:rsidRPr="000763A5">
        <w:rPr>
          <w:rFonts w:asciiTheme="minorHAnsi" w:hAnsiTheme="minorHAnsi"/>
          <w:bCs/>
          <w:sz w:val="22"/>
          <w:szCs w:val="22"/>
        </w:rPr>
        <w:t xml:space="preserve">is on </w:t>
      </w:r>
      <w:r>
        <w:rPr>
          <w:rFonts w:asciiTheme="minorHAnsi" w:hAnsiTheme="minorHAnsi"/>
          <w:bCs/>
          <w:sz w:val="22"/>
          <w:szCs w:val="22"/>
        </w:rPr>
        <w:t xml:space="preserve">more favourable terms to B than </w:t>
      </w:r>
      <w:r w:rsidRPr="000763A5">
        <w:rPr>
          <w:rFonts w:asciiTheme="minorHAnsi" w:hAnsiTheme="minorHAnsi"/>
          <w:bCs/>
          <w:sz w:val="22"/>
          <w:szCs w:val="22"/>
        </w:rPr>
        <w:t>arm</w:t>
      </w:r>
      <w:r>
        <w:rPr>
          <w:rFonts w:asciiTheme="minorHAnsi" w:hAnsiTheme="minorHAnsi"/>
          <w:bCs/>
          <w:sz w:val="22"/>
          <w:szCs w:val="22"/>
        </w:rPr>
        <w:t>’</w:t>
      </w:r>
      <w:r w:rsidRPr="000763A5">
        <w:rPr>
          <w:rFonts w:asciiTheme="minorHAnsi" w:hAnsiTheme="minorHAnsi"/>
          <w:bCs/>
          <w:sz w:val="22"/>
          <w:szCs w:val="22"/>
        </w:rPr>
        <w:t>s-length terms; or</w:t>
      </w:r>
    </w:p>
    <w:p w:rsidR="008357A6" w:rsidRPr="00787456" w:rsidRDefault="008357A6" w:rsidP="00330593">
      <w:pPr>
        <w:pStyle w:val="Default"/>
        <w:numPr>
          <w:ilvl w:val="0"/>
          <w:numId w:val="14"/>
        </w:numPr>
        <w:tabs>
          <w:tab w:val="left" w:pos="567"/>
        </w:tabs>
        <w:snapToGrid w:val="0"/>
        <w:spacing w:after="120"/>
        <w:ind w:left="1701" w:hanging="567"/>
        <w:jc w:val="both"/>
        <w:rPr>
          <w:rFonts w:asciiTheme="minorHAnsi" w:hAnsiTheme="minorHAnsi"/>
          <w:bCs/>
          <w:sz w:val="22"/>
          <w:szCs w:val="22"/>
        </w:rPr>
      </w:pPr>
      <w:r w:rsidRPr="000763A5">
        <w:rPr>
          <w:rFonts w:asciiTheme="minorHAnsi" w:hAnsiTheme="minorHAnsi"/>
          <w:bCs/>
          <w:sz w:val="22"/>
          <w:szCs w:val="22"/>
        </w:rPr>
        <w:t xml:space="preserve">is, or will be, for a </w:t>
      </w:r>
      <w:r>
        <w:rPr>
          <w:rFonts w:asciiTheme="minorHAnsi" w:hAnsiTheme="minorHAnsi"/>
          <w:bCs/>
          <w:sz w:val="22"/>
          <w:szCs w:val="22"/>
        </w:rPr>
        <w:t>term longer than 3 years</w:t>
      </w:r>
      <w:r w:rsidRPr="000763A5">
        <w:rPr>
          <w:rFonts w:asciiTheme="minorHAnsi" w:hAnsiTheme="minorHAnsi"/>
          <w:bCs/>
          <w:sz w:val="22"/>
          <w:szCs w:val="22"/>
        </w:rPr>
        <w:t xml:space="preserve">, and cannot be </w:t>
      </w:r>
      <w:r w:rsidRPr="003B56A8">
        <w:rPr>
          <w:rFonts w:asciiTheme="minorHAnsi" w:hAnsiTheme="minorHAnsi"/>
          <w:bCs/>
          <w:sz w:val="22"/>
          <w:szCs w:val="22"/>
        </w:rPr>
        <w:t>terminated</w:t>
      </w:r>
      <w:r>
        <w:rPr>
          <w:rFonts w:asciiTheme="minorHAnsi" w:hAnsiTheme="minorHAnsi"/>
          <w:bCs/>
          <w:sz w:val="22"/>
          <w:szCs w:val="22"/>
        </w:rPr>
        <w:t xml:space="preserve"> by A without cause</w:t>
      </w:r>
      <w:r w:rsidRPr="003B56A8">
        <w:rPr>
          <w:rFonts w:asciiTheme="minorHAnsi" w:hAnsiTheme="minorHAnsi"/>
          <w:bCs/>
          <w:sz w:val="22"/>
          <w:szCs w:val="22"/>
        </w:rPr>
        <w:t xml:space="preserve"> </w:t>
      </w:r>
      <w:r>
        <w:rPr>
          <w:rFonts w:asciiTheme="minorHAnsi" w:hAnsiTheme="minorHAnsi"/>
          <w:bCs/>
          <w:sz w:val="22"/>
          <w:szCs w:val="22"/>
        </w:rPr>
        <w:t>under the terms of the services agreement</w:t>
      </w:r>
      <w:r w:rsidRPr="00787456">
        <w:rPr>
          <w:rFonts w:asciiTheme="minorHAnsi" w:hAnsiTheme="minorHAnsi"/>
          <w:bCs/>
          <w:sz w:val="22"/>
          <w:szCs w:val="22"/>
        </w:rPr>
        <w:t>; or</w:t>
      </w:r>
    </w:p>
    <w:p w:rsidR="008357A6" w:rsidRPr="008357A6" w:rsidRDefault="008357A6" w:rsidP="00330593">
      <w:pPr>
        <w:pStyle w:val="Default"/>
        <w:numPr>
          <w:ilvl w:val="0"/>
          <w:numId w:val="14"/>
        </w:numPr>
        <w:tabs>
          <w:tab w:val="left" w:pos="567"/>
        </w:tabs>
        <w:snapToGrid w:val="0"/>
        <w:spacing w:after="120"/>
        <w:ind w:left="1701" w:hanging="567"/>
        <w:jc w:val="both"/>
        <w:rPr>
          <w:lang w:eastAsia="en-US"/>
        </w:rPr>
      </w:pPr>
      <w:r w:rsidRPr="00787456">
        <w:rPr>
          <w:rFonts w:asciiTheme="minorHAnsi" w:hAnsiTheme="minorHAnsi"/>
          <w:bCs/>
          <w:sz w:val="22"/>
          <w:szCs w:val="22"/>
        </w:rPr>
        <w:t xml:space="preserve">requires A, or an associated person of A, to pay </w:t>
      </w:r>
      <w:r>
        <w:rPr>
          <w:rFonts w:asciiTheme="minorHAnsi" w:hAnsiTheme="minorHAnsi"/>
          <w:bCs/>
          <w:sz w:val="22"/>
          <w:szCs w:val="22"/>
        </w:rPr>
        <w:t>a fee</w:t>
      </w:r>
      <w:r w:rsidRPr="00787456">
        <w:rPr>
          <w:rFonts w:asciiTheme="minorHAnsi" w:hAnsiTheme="minorHAnsi"/>
          <w:bCs/>
          <w:sz w:val="22"/>
          <w:szCs w:val="22"/>
        </w:rPr>
        <w:t xml:space="preserve"> for termination by A of the services agreement that exceeds the specified amount.</w:t>
      </w:r>
    </w:p>
    <w:p w:rsidR="004F4D8A" w:rsidRPr="00787456" w:rsidRDefault="004F4D8A" w:rsidP="008357A6">
      <w:pPr>
        <w:pStyle w:val="Default"/>
        <w:numPr>
          <w:ilvl w:val="1"/>
          <w:numId w:val="9"/>
        </w:numPr>
        <w:shd w:val="clear" w:color="auto" w:fill="FFFFFF" w:themeFill="background1"/>
        <w:tabs>
          <w:tab w:val="left" w:pos="567"/>
        </w:tabs>
        <w:snapToGrid w:val="0"/>
        <w:spacing w:after="120"/>
        <w:ind w:left="567" w:hanging="567"/>
        <w:jc w:val="both"/>
        <w:rPr>
          <w:rFonts w:asciiTheme="minorHAnsi" w:hAnsiTheme="minorHAnsi"/>
          <w:bCs/>
          <w:sz w:val="22"/>
          <w:szCs w:val="22"/>
        </w:rPr>
      </w:pPr>
      <w:r w:rsidRPr="00787456">
        <w:rPr>
          <w:rFonts w:asciiTheme="minorHAnsi" w:hAnsiTheme="minorHAnsi"/>
          <w:bCs/>
          <w:sz w:val="22"/>
          <w:szCs w:val="22"/>
        </w:rPr>
        <w:t xml:space="preserve">In </w:t>
      </w:r>
      <w:r w:rsidR="00A04D84" w:rsidRPr="00787456">
        <w:rPr>
          <w:rFonts w:asciiTheme="minorHAnsi" w:hAnsiTheme="minorHAnsi"/>
          <w:bCs/>
          <w:sz w:val="22"/>
          <w:szCs w:val="22"/>
        </w:rPr>
        <w:t xml:space="preserve">subclause </w:t>
      </w:r>
      <w:r w:rsidRPr="00787456">
        <w:rPr>
          <w:rFonts w:asciiTheme="minorHAnsi" w:hAnsiTheme="minorHAnsi"/>
          <w:bCs/>
          <w:sz w:val="22"/>
          <w:szCs w:val="22"/>
        </w:rPr>
        <w:t>(</w:t>
      </w:r>
      <w:r w:rsidR="008357A6">
        <w:rPr>
          <w:rFonts w:asciiTheme="minorHAnsi" w:hAnsiTheme="minorHAnsi"/>
          <w:bCs/>
          <w:sz w:val="22"/>
          <w:szCs w:val="22"/>
        </w:rPr>
        <w:t>1</w:t>
      </w:r>
      <w:r w:rsidRPr="00787456">
        <w:rPr>
          <w:rFonts w:asciiTheme="minorHAnsi" w:hAnsiTheme="minorHAnsi"/>
          <w:bCs/>
          <w:sz w:val="22"/>
          <w:szCs w:val="22"/>
        </w:rPr>
        <w:t xml:space="preserve">) a reference to </w:t>
      </w:r>
      <w:r w:rsidRPr="00787456">
        <w:rPr>
          <w:rFonts w:asciiTheme="minorHAnsi" w:hAnsiTheme="minorHAnsi"/>
          <w:b/>
          <w:bCs/>
          <w:sz w:val="22"/>
          <w:szCs w:val="22"/>
        </w:rPr>
        <w:t>arm</w:t>
      </w:r>
      <w:r w:rsidR="00E13114" w:rsidRPr="00787456">
        <w:rPr>
          <w:rFonts w:asciiTheme="minorHAnsi" w:hAnsiTheme="minorHAnsi"/>
          <w:b/>
          <w:bCs/>
          <w:sz w:val="22"/>
          <w:szCs w:val="22"/>
        </w:rPr>
        <w:t>’</w:t>
      </w:r>
      <w:r w:rsidRPr="00787456">
        <w:rPr>
          <w:rFonts w:asciiTheme="minorHAnsi" w:hAnsiTheme="minorHAnsi"/>
          <w:b/>
          <w:bCs/>
          <w:sz w:val="22"/>
          <w:szCs w:val="22"/>
        </w:rPr>
        <w:t>s-length terms</w:t>
      </w:r>
      <w:r w:rsidRPr="00787456">
        <w:rPr>
          <w:rFonts w:asciiTheme="minorHAnsi" w:hAnsiTheme="minorHAnsi"/>
          <w:bCs/>
          <w:sz w:val="22"/>
          <w:szCs w:val="22"/>
        </w:rPr>
        <w:t xml:space="preserve"> </w:t>
      </w:r>
      <w:r w:rsidR="00A04D84" w:rsidRPr="00787456">
        <w:rPr>
          <w:rFonts w:asciiTheme="minorHAnsi" w:hAnsiTheme="minorHAnsi"/>
          <w:bCs/>
          <w:sz w:val="22"/>
          <w:szCs w:val="22"/>
        </w:rPr>
        <w:t>means</w:t>
      </w:r>
      <w:r w:rsidRPr="00787456">
        <w:rPr>
          <w:rFonts w:asciiTheme="minorHAnsi" w:hAnsiTheme="minorHAnsi"/>
          <w:bCs/>
          <w:sz w:val="22"/>
          <w:szCs w:val="22"/>
        </w:rPr>
        <w:t xml:space="preserve"> terms that would be reasonable in the circumstances for parties connected or related only by the transaction in question, each acting independently, and each acting in its own best interests.</w:t>
      </w:r>
    </w:p>
    <w:p w:rsidR="004F4D8A" w:rsidRDefault="00A04D84" w:rsidP="001A0E9F">
      <w:pPr>
        <w:pStyle w:val="Style2"/>
        <w:numPr>
          <w:ilvl w:val="1"/>
          <w:numId w:val="9"/>
        </w:numPr>
        <w:shd w:val="clear" w:color="auto" w:fill="auto"/>
        <w:spacing w:before="120" w:line="240" w:lineRule="auto"/>
        <w:ind w:left="567" w:hanging="567"/>
        <w:jc w:val="both"/>
        <w:rPr>
          <w:sz w:val="22"/>
          <w:szCs w:val="22"/>
        </w:rPr>
      </w:pPr>
      <w:r w:rsidRPr="00787456">
        <w:rPr>
          <w:rFonts w:asciiTheme="minorHAnsi" w:hAnsiTheme="minorHAnsi"/>
          <w:bCs/>
          <w:sz w:val="22"/>
          <w:szCs w:val="22"/>
        </w:rPr>
        <w:t>Subclause (</w:t>
      </w:r>
      <w:r w:rsidR="008357A6">
        <w:rPr>
          <w:sz w:val="22"/>
          <w:szCs w:val="22"/>
        </w:rPr>
        <w:t>1</w:t>
      </w:r>
      <w:r w:rsidRPr="00787456">
        <w:rPr>
          <w:sz w:val="22"/>
          <w:szCs w:val="22"/>
        </w:rPr>
        <w:t>)</w:t>
      </w:r>
      <w:r w:rsidR="004F4D8A" w:rsidRPr="00787456">
        <w:rPr>
          <w:sz w:val="22"/>
          <w:szCs w:val="22"/>
        </w:rPr>
        <w:t>(a) does not apply if the key service provider exercises control over the assets only because of rights that it has under the services agreement with the company.</w:t>
      </w:r>
    </w:p>
    <w:p w:rsidR="008357A6" w:rsidRPr="00787456" w:rsidRDefault="008357A6" w:rsidP="008357A6">
      <w:pPr>
        <w:pStyle w:val="Style2"/>
        <w:numPr>
          <w:ilvl w:val="1"/>
          <w:numId w:val="9"/>
        </w:numPr>
        <w:shd w:val="clear" w:color="auto" w:fill="auto"/>
        <w:spacing w:after="0" w:line="240" w:lineRule="auto"/>
        <w:ind w:left="567" w:hanging="567"/>
        <w:jc w:val="both"/>
        <w:rPr>
          <w:sz w:val="22"/>
          <w:szCs w:val="22"/>
        </w:rPr>
      </w:pPr>
      <w:r>
        <w:rPr>
          <w:sz w:val="22"/>
          <w:szCs w:val="22"/>
        </w:rPr>
        <w:t xml:space="preserve">In subclause (1)(a)(i), assets are </w:t>
      </w:r>
      <w:r>
        <w:rPr>
          <w:b/>
          <w:sz w:val="22"/>
          <w:szCs w:val="22"/>
        </w:rPr>
        <w:t>material to the operation of A’s primary business</w:t>
      </w:r>
      <w:r>
        <w:rPr>
          <w:sz w:val="22"/>
          <w:szCs w:val="22"/>
        </w:rPr>
        <w:t xml:space="preserve"> if the removal of those assets would, or would be likely to, have a material adverse effect on A’s financial performance, or A’s ability to perform the usual </w:t>
      </w:r>
      <w:r w:rsidRPr="002D4B3E">
        <w:rPr>
          <w:sz w:val="22"/>
          <w:szCs w:val="22"/>
        </w:rPr>
        <w:t xml:space="preserve">activities and services related to </w:t>
      </w:r>
      <w:r>
        <w:rPr>
          <w:sz w:val="22"/>
          <w:szCs w:val="22"/>
        </w:rPr>
        <w:t>its</w:t>
      </w:r>
      <w:r w:rsidRPr="002D4B3E">
        <w:rPr>
          <w:sz w:val="22"/>
          <w:szCs w:val="22"/>
        </w:rPr>
        <w:t xml:space="preserve"> primary business on a continuous and satisfactory basis.</w:t>
      </w:r>
    </w:p>
    <w:p w:rsidR="008357A6" w:rsidRPr="008357A6" w:rsidRDefault="008357A6" w:rsidP="001A0E9F">
      <w:pPr>
        <w:pStyle w:val="Default"/>
        <w:numPr>
          <w:ilvl w:val="0"/>
          <w:numId w:val="9"/>
        </w:numPr>
        <w:tabs>
          <w:tab w:val="left" w:pos="567"/>
        </w:tabs>
        <w:snapToGrid w:val="0"/>
        <w:spacing w:after="120"/>
        <w:ind w:left="567" w:hanging="567"/>
        <w:jc w:val="both"/>
        <w:outlineLvl w:val="0"/>
        <w:rPr>
          <w:sz w:val="22"/>
          <w:szCs w:val="22"/>
        </w:rPr>
      </w:pPr>
      <w:bookmarkStart w:id="13" w:name="_Toc473296210"/>
      <w:r>
        <w:rPr>
          <w:b/>
          <w:sz w:val="22"/>
          <w:szCs w:val="22"/>
        </w:rPr>
        <w:t>Calculation of specified amount</w:t>
      </w:r>
      <w:bookmarkEnd w:id="13"/>
    </w:p>
    <w:p w:rsidR="004F4D8A" w:rsidRPr="00787456" w:rsidRDefault="004F4D8A" w:rsidP="008357A6">
      <w:pPr>
        <w:pStyle w:val="Default"/>
        <w:numPr>
          <w:ilvl w:val="1"/>
          <w:numId w:val="9"/>
        </w:numPr>
        <w:tabs>
          <w:tab w:val="left" w:pos="567"/>
        </w:tabs>
        <w:snapToGrid w:val="0"/>
        <w:spacing w:after="120"/>
        <w:ind w:left="567" w:hanging="567"/>
        <w:jc w:val="both"/>
        <w:rPr>
          <w:sz w:val="22"/>
          <w:szCs w:val="22"/>
        </w:rPr>
      </w:pPr>
      <w:r w:rsidRPr="00787456">
        <w:rPr>
          <w:rFonts w:asciiTheme="minorHAnsi" w:hAnsiTheme="minorHAnsi"/>
          <w:bCs/>
          <w:sz w:val="22"/>
          <w:szCs w:val="22"/>
        </w:rPr>
        <w:t xml:space="preserve">For the purposes of </w:t>
      </w:r>
      <w:r w:rsidR="00154458" w:rsidRPr="00787456">
        <w:rPr>
          <w:rFonts w:asciiTheme="minorHAnsi" w:hAnsiTheme="minorHAnsi"/>
          <w:bCs/>
          <w:sz w:val="22"/>
          <w:szCs w:val="22"/>
        </w:rPr>
        <w:t xml:space="preserve">clause </w:t>
      </w:r>
      <w:r w:rsidR="008357A6">
        <w:rPr>
          <w:rFonts w:asciiTheme="minorHAnsi" w:hAnsiTheme="minorHAnsi"/>
          <w:bCs/>
          <w:sz w:val="22"/>
          <w:szCs w:val="22"/>
        </w:rPr>
        <w:t>9</w:t>
      </w:r>
      <w:r w:rsidRPr="00787456">
        <w:rPr>
          <w:rFonts w:asciiTheme="minorHAnsi" w:hAnsiTheme="minorHAnsi"/>
          <w:bCs/>
          <w:sz w:val="22"/>
          <w:szCs w:val="22"/>
        </w:rPr>
        <w:t>(</w:t>
      </w:r>
      <w:r w:rsidR="008357A6">
        <w:rPr>
          <w:rFonts w:asciiTheme="minorHAnsi" w:hAnsiTheme="minorHAnsi"/>
          <w:bCs/>
          <w:sz w:val="22"/>
          <w:szCs w:val="22"/>
        </w:rPr>
        <w:t>1</w:t>
      </w:r>
      <w:r w:rsidRPr="00787456">
        <w:rPr>
          <w:rFonts w:asciiTheme="minorHAnsi" w:hAnsiTheme="minorHAnsi"/>
          <w:bCs/>
          <w:sz w:val="22"/>
          <w:szCs w:val="22"/>
        </w:rPr>
        <w:t>)(b)(iii)</w:t>
      </w:r>
      <w:r w:rsidR="00A000DD">
        <w:rPr>
          <w:rFonts w:asciiTheme="minorHAnsi" w:hAnsiTheme="minorHAnsi"/>
          <w:bCs/>
          <w:sz w:val="22"/>
          <w:szCs w:val="22"/>
        </w:rPr>
        <w:t>,</w:t>
      </w:r>
      <w:r w:rsidR="00A000DD" w:rsidRPr="00787456" w:rsidDel="00A000DD">
        <w:rPr>
          <w:rFonts w:asciiTheme="minorHAnsi" w:hAnsiTheme="minorHAnsi"/>
          <w:bCs/>
          <w:sz w:val="22"/>
          <w:szCs w:val="22"/>
        </w:rPr>
        <w:t xml:space="preserve"> </w:t>
      </w:r>
      <w:r w:rsidRPr="00787456">
        <w:rPr>
          <w:b/>
          <w:sz w:val="22"/>
          <w:szCs w:val="22"/>
        </w:rPr>
        <w:t>specified amount</w:t>
      </w:r>
      <w:r w:rsidRPr="00787456">
        <w:rPr>
          <w:sz w:val="22"/>
          <w:szCs w:val="22"/>
        </w:rPr>
        <w:t xml:space="preserve"> means the lesser of—</w:t>
      </w:r>
    </w:p>
    <w:p w:rsidR="004F4D8A" w:rsidRPr="00787456" w:rsidRDefault="000D1CFD" w:rsidP="00330593">
      <w:pPr>
        <w:pStyle w:val="Style2"/>
        <w:numPr>
          <w:ilvl w:val="0"/>
          <w:numId w:val="16"/>
        </w:numPr>
        <w:shd w:val="clear" w:color="auto" w:fill="auto"/>
        <w:spacing w:after="0" w:line="240" w:lineRule="auto"/>
        <w:ind w:left="1134" w:hanging="567"/>
        <w:jc w:val="both"/>
        <w:rPr>
          <w:sz w:val="22"/>
          <w:szCs w:val="22"/>
        </w:rPr>
      </w:pPr>
      <w:r>
        <w:rPr>
          <w:sz w:val="22"/>
          <w:szCs w:val="22"/>
        </w:rPr>
        <w:t>30%</w:t>
      </w:r>
      <w:r w:rsidR="004F4D8A" w:rsidRPr="00787456">
        <w:rPr>
          <w:sz w:val="22"/>
          <w:szCs w:val="22"/>
        </w:rPr>
        <w:t xml:space="preserve"> of the value of the </w:t>
      </w:r>
      <w:r w:rsidR="00762708">
        <w:rPr>
          <w:sz w:val="22"/>
          <w:szCs w:val="22"/>
        </w:rPr>
        <w:t>payment</w:t>
      </w:r>
      <w:r w:rsidR="00762708" w:rsidRPr="00787456">
        <w:rPr>
          <w:sz w:val="22"/>
          <w:szCs w:val="22"/>
        </w:rPr>
        <w:t xml:space="preserve"> </w:t>
      </w:r>
      <w:r w:rsidR="004F4D8A" w:rsidRPr="00787456">
        <w:rPr>
          <w:sz w:val="22"/>
          <w:szCs w:val="22"/>
        </w:rPr>
        <w:t xml:space="preserve">required to be </w:t>
      </w:r>
      <w:r w:rsidR="009E1C9E">
        <w:rPr>
          <w:sz w:val="22"/>
          <w:szCs w:val="22"/>
        </w:rPr>
        <w:t>made</w:t>
      </w:r>
      <w:r w:rsidR="004F4D8A" w:rsidRPr="00787456">
        <w:rPr>
          <w:sz w:val="22"/>
          <w:szCs w:val="22"/>
        </w:rPr>
        <w:t xml:space="preserve"> to the key service provider for the entire term of the agreement or </w:t>
      </w:r>
      <w:r w:rsidR="00A963E3">
        <w:rPr>
          <w:sz w:val="22"/>
          <w:szCs w:val="22"/>
        </w:rPr>
        <w:t>5</w:t>
      </w:r>
      <w:r w:rsidR="00A963E3" w:rsidRPr="00787456">
        <w:rPr>
          <w:sz w:val="22"/>
          <w:szCs w:val="22"/>
        </w:rPr>
        <w:t xml:space="preserve"> </w:t>
      </w:r>
      <w:r w:rsidR="004F4D8A" w:rsidRPr="00787456">
        <w:rPr>
          <w:sz w:val="22"/>
          <w:szCs w:val="22"/>
        </w:rPr>
        <w:t>years, whichever is shorter; and</w:t>
      </w:r>
    </w:p>
    <w:p w:rsidR="004F4D8A" w:rsidRDefault="000D1CFD" w:rsidP="00330593">
      <w:pPr>
        <w:pStyle w:val="Style2"/>
        <w:numPr>
          <w:ilvl w:val="0"/>
          <w:numId w:val="16"/>
        </w:numPr>
        <w:shd w:val="clear" w:color="auto" w:fill="auto"/>
        <w:spacing w:after="0" w:line="240" w:lineRule="auto"/>
        <w:ind w:left="1134" w:hanging="567"/>
        <w:jc w:val="both"/>
        <w:rPr>
          <w:sz w:val="22"/>
          <w:szCs w:val="22"/>
        </w:rPr>
      </w:pPr>
      <w:r>
        <w:rPr>
          <w:sz w:val="22"/>
          <w:szCs w:val="22"/>
        </w:rPr>
        <w:t>50</w:t>
      </w:r>
      <w:r w:rsidR="004F4D8A" w:rsidRPr="00787456">
        <w:rPr>
          <w:sz w:val="22"/>
          <w:szCs w:val="22"/>
        </w:rPr>
        <w:t xml:space="preserve">% of the value of the </w:t>
      </w:r>
      <w:r w:rsidR="00762708">
        <w:rPr>
          <w:sz w:val="22"/>
          <w:szCs w:val="22"/>
        </w:rPr>
        <w:t>payment</w:t>
      </w:r>
      <w:r w:rsidR="00762708" w:rsidRPr="00787456">
        <w:rPr>
          <w:sz w:val="22"/>
          <w:szCs w:val="22"/>
        </w:rPr>
        <w:t xml:space="preserve"> </w:t>
      </w:r>
      <w:r w:rsidR="004F4D8A" w:rsidRPr="00787456">
        <w:rPr>
          <w:sz w:val="22"/>
          <w:szCs w:val="22"/>
        </w:rPr>
        <w:t xml:space="preserve">required to be </w:t>
      </w:r>
      <w:r w:rsidR="009E1C9E">
        <w:rPr>
          <w:sz w:val="22"/>
          <w:szCs w:val="22"/>
        </w:rPr>
        <w:t>made</w:t>
      </w:r>
      <w:r w:rsidR="004F4D8A" w:rsidRPr="00787456">
        <w:rPr>
          <w:sz w:val="22"/>
          <w:szCs w:val="22"/>
        </w:rPr>
        <w:t xml:space="preserve"> to the key service provider for the remaining term of the agreement.</w:t>
      </w:r>
    </w:p>
    <w:p w:rsidR="001A0E9F" w:rsidRPr="006247CF" w:rsidRDefault="001A0E9F" w:rsidP="000A42A6">
      <w:pPr>
        <w:pStyle w:val="Default"/>
        <w:numPr>
          <w:ilvl w:val="1"/>
          <w:numId w:val="9"/>
        </w:numPr>
        <w:tabs>
          <w:tab w:val="left" w:pos="567"/>
        </w:tabs>
        <w:snapToGrid w:val="0"/>
        <w:spacing w:after="120"/>
        <w:ind w:left="567" w:hanging="567"/>
        <w:jc w:val="both"/>
        <w:rPr>
          <w:sz w:val="22"/>
          <w:szCs w:val="22"/>
        </w:rPr>
      </w:pPr>
      <w:r>
        <w:rPr>
          <w:sz w:val="22"/>
          <w:szCs w:val="22"/>
        </w:rPr>
        <w:t>The payment in subclause (1) excludes any reimbursable costs and expenses.</w:t>
      </w:r>
    </w:p>
    <w:p w:rsidR="001A0E9F" w:rsidRDefault="001A0E9F" w:rsidP="000A42A6">
      <w:pPr>
        <w:pStyle w:val="Default"/>
        <w:keepNext/>
        <w:pBdr>
          <w:bottom w:val="single" w:sz="4" w:space="1" w:color="auto"/>
        </w:pBdr>
        <w:tabs>
          <w:tab w:val="left" w:pos="567"/>
        </w:tabs>
        <w:snapToGrid w:val="0"/>
        <w:spacing w:after="120"/>
        <w:ind w:left="567"/>
        <w:jc w:val="both"/>
        <w:rPr>
          <w:sz w:val="22"/>
          <w:szCs w:val="22"/>
        </w:rPr>
      </w:pPr>
    </w:p>
    <w:p w:rsidR="001A0E9F" w:rsidRDefault="001A0E9F" w:rsidP="000A42A6">
      <w:pPr>
        <w:pStyle w:val="Default"/>
        <w:keepNext/>
        <w:tabs>
          <w:tab w:val="left" w:pos="567"/>
        </w:tabs>
        <w:snapToGrid w:val="0"/>
        <w:spacing w:after="120"/>
        <w:ind w:left="567"/>
        <w:jc w:val="both"/>
        <w:rPr>
          <w:b/>
          <w:sz w:val="20"/>
          <w:szCs w:val="22"/>
        </w:rPr>
      </w:pPr>
      <w:r w:rsidRPr="006B2C7B">
        <w:rPr>
          <w:b/>
          <w:sz w:val="20"/>
          <w:szCs w:val="22"/>
        </w:rPr>
        <w:t>Example</w:t>
      </w:r>
    </w:p>
    <w:p w:rsidR="001A0E9F" w:rsidRDefault="001A0E9F" w:rsidP="001A0E9F">
      <w:pPr>
        <w:pStyle w:val="Default"/>
        <w:tabs>
          <w:tab w:val="left" w:pos="567"/>
        </w:tabs>
        <w:snapToGrid w:val="0"/>
        <w:spacing w:after="120"/>
        <w:ind w:left="567"/>
        <w:jc w:val="both"/>
        <w:rPr>
          <w:sz w:val="20"/>
          <w:szCs w:val="22"/>
        </w:rPr>
      </w:pPr>
      <w:r>
        <w:rPr>
          <w:sz w:val="20"/>
          <w:szCs w:val="22"/>
        </w:rPr>
        <w:t xml:space="preserve">Investment company A has entered into an investment management agreement with investment manager B under which A will pay B a management fee of $200,000 per year.  The investment management agreement </w:t>
      </w:r>
      <w:r w:rsidRPr="001459F2">
        <w:rPr>
          <w:sz w:val="20"/>
          <w:szCs w:val="22"/>
        </w:rPr>
        <w:t>has a 6 year</w:t>
      </w:r>
      <w:r>
        <w:rPr>
          <w:sz w:val="20"/>
          <w:szCs w:val="22"/>
        </w:rPr>
        <w:t xml:space="preserve"> term.</w:t>
      </w:r>
    </w:p>
    <w:tbl>
      <w:tblPr>
        <w:tblStyle w:val="TableGrid"/>
        <w:tblW w:w="0" w:type="auto"/>
        <w:tblInd w:w="675" w:type="dxa"/>
        <w:tblLook w:val="04A0" w:firstRow="1" w:lastRow="0" w:firstColumn="1" w:lastColumn="0" w:noHBand="0" w:noVBand="1"/>
      </w:tblPr>
      <w:tblGrid>
        <w:gridCol w:w="2141"/>
        <w:gridCol w:w="2142"/>
        <w:gridCol w:w="2142"/>
        <w:gridCol w:w="2142"/>
      </w:tblGrid>
      <w:tr w:rsidR="001A0E9F" w:rsidTr="007601B0">
        <w:tc>
          <w:tcPr>
            <w:tcW w:w="2141" w:type="dxa"/>
          </w:tcPr>
          <w:p w:rsidR="001A0E9F" w:rsidRPr="00444525" w:rsidRDefault="001A0E9F" w:rsidP="00321D7A">
            <w:pPr>
              <w:pStyle w:val="Default"/>
              <w:keepNext/>
              <w:tabs>
                <w:tab w:val="left" w:pos="567"/>
              </w:tabs>
              <w:snapToGrid w:val="0"/>
              <w:spacing w:after="120"/>
              <w:jc w:val="both"/>
              <w:rPr>
                <w:b/>
                <w:sz w:val="20"/>
                <w:szCs w:val="22"/>
              </w:rPr>
            </w:pPr>
            <w:r w:rsidRPr="00444525">
              <w:rPr>
                <w:b/>
                <w:sz w:val="20"/>
                <w:szCs w:val="22"/>
              </w:rPr>
              <w:t>Year of termination</w:t>
            </w:r>
          </w:p>
        </w:tc>
        <w:tc>
          <w:tcPr>
            <w:tcW w:w="2142" w:type="dxa"/>
          </w:tcPr>
          <w:p w:rsidR="001A0E9F" w:rsidRPr="00444525" w:rsidRDefault="001A0E9F" w:rsidP="007601B0">
            <w:pPr>
              <w:pStyle w:val="Default"/>
              <w:tabs>
                <w:tab w:val="left" w:pos="567"/>
              </w:tabs>
              <w:snapToGrid w:val="0"/>
              <w:spacing w:after="120"/>
              <w:jc w:val="both"/>
              <w:rPr>
                <w:b/>
                <w:sz w:val="20"/>
                <w:szCs w:val="22"/>
              </w:rPr>
            </w:pPr>
            <w:r>
              <w:rPr>
                <w:b/>
                <w:sz w:val="20"/>
                <w:szCs w:val="22"/>
              </w:rPr>
              <w:t xml:space="preserve">30% of </w:t>
            </w:r>
            <w:r w:rsidRPr="00444525">
              <w:rPr>
                <w:b/>
                <w:sz w:val="20"/>
                <w:szCs w:val="22"/>
              </w:rPr>
              <w:t>payment</w:t>
            </w:r>
            <w:r>
              <w:rPr>
                <w:b/>
                <w:sz w:val="20"/>
                <w:szCs w:val="22"/>
              </w:rPr>
              <w:t xml:space="preserve"> for shorter of entire term or 5 years</w:t>
            </w:r>
          </w:p>
        </w:tc>
        <w:tc>
          <w:tcPr>
            <w:tcW w:w="2142" w:type="dxa"/>
          </w:tcPr>
          <w:p w:rsidR="001A0E9F" w:rsidRPr="00444525" w:rsidRDefault="001A0E9F" w:rsidP="007601B0">
            <w:pPr>
              <w:pStyle w:val="Default"/>
              <w:tabs>
                <w:tab w:val="left" w:pos="567"/>
              </w:tabs>
              <w:snapToGrid w:val="0"/>
              <w:spacing w:after="120"/>
              <w:jc w:val="both"/>
              <w:rPr>
                <w:b/>
                <w:sz w:val="20"/>
                <w:szCs w:val="22"/>
              </w:rPr>
            </w:pPr>
            <w:r>
              <w:rPr>
                <w:b/>
                <w:sz w:val="20"/>
                <w:szCs w:val="22"/>
              </w:rPr>
              <w:t>5</w:t>
            </w:r>
            <w:r w:rsidRPr="00444525">
              <w:rPr>
                <w:b/>
                <w:sz w:val="20"/>
                <w:szCs w:val="22"/>
              </w:rPr>
              <w:t>0% of payment for remaining term</w:t>
            </w:r>
          </w:p>
        </w:tc>
        <w:tc>
          <w:tcPr>
            <w:tcW w:w="2142" w:type="dxa"/>
          </w:tcPr>
          <w:p w:rsidR="001A0E9F" w:rsidRPr="00444525" w:rsidRDefault="001A0E9F" w:rsidP="007601B0">
            <w:pPr>
              <w:pStyle w:val="Default"/>
              <w:tabs>
                <w:tab w:val="left" w:pos="567"/>
              </w:tabs>
              <w:snapToGrid w:val="0"/>
              <w:spacing w:after="120"/>
              <w:jc w:val="both"/>
              <w:rPr>
                <w:b/>
                <w:sz w:val="20"/>
                <w:szCs w:val="22"/>
              </w:rPr>
            </w:pPr>
            <w:r>
              <w:rPr>
                <w:b/>
                <w:sz w:val="20"/>
                <w:szCs w:val="22"/>
              </w:rPr>
              <w:t>Specified amount</w:t>
            </w:r>
          </w:p>
        </w:tc>
      </w:tr>
      <w:tr w:rsidR="001A0E9F" w:rsidTr="007601B0">
        <w:tc>
          <w:tcPr>
            <w:tcW w:w="2141" w:type="dxa"/>
          </w:tcPr>
          <w:p w:rsidR="001A0E9F" w:rsidRDefault="001A0E9F" w:rsidP="007601B0">
            <w:pPr>
              <w:pStyle w:val="Default"/>
              <w:tabs>
                <w:tab w:val="left" w:pos="567"/>
              </w:tabs>
              <w:snapToGrid w:val="0"/>
              <w:spacing w:after="120"/>
              <w:jc w:val="both"/>
              <w:rPr>
                <w:sz w:val="20"/>
                <w:szCs w:val="22"/>
              </w:rPr>
            </w:pPr>
            <w:r>
              <w:rPr>
                <w:sz w:val="20"/>
                <w:szCs w:val="22"/>
              </w:rPr>
              <w:t>0</w:t>
            </w:r>
          </w:p>
        </w:tc>
        <w:tc>
          <w:tcPr>
            <w:tcW w:w="2142" w:type="dxa"/>
          </w:tcPr>
          <w:p w:rsidR="001A0E9F" w:rsidRDefault="001A0E9F" w:rsidP="007601B0">
            <w:pPr>
              <w:pStyle w:val="Default"/>
              <w:tabs>
                <w:tab w:val="left" w:pos="567"/>
              </w:tabs>
              <w:snapToGrid w:val="0"/>
              <w:spacing w:after="120"/>
              <w:jc w:val="both"/>
              <w:rPr>
                <w:sz w:val="20"/>
                <w:szCs w:val="22"/>
              </w:rPr>
            </w:pPr>
            <w:r>
              <w:rPr>
                <w:sz w:val="20"/>
                <w:szCs w:val="22"/>
              </w:rPr>
              <w:t>$300,000</w:t>
            </w:r>
          </w:p>
        </w:tc>
        <w:tc>
          <w:tcPr>
            <w:tcW w:w="2142" w:type="dxa"/>
          </w:tcPr>
          <w:p w:rsidR="001A0E9F" w:rsidRDefault="001A0E9F" w:rsidP="007601B0">
            <w:pPr>
              <w:pStyle w:val="Default"/>
              <w:tabs>
                <w:tab w:val="left" w:pos="567"/>
              </w:tabs>
              <w:snapToGrid w:val="0"/>
              <w:spacing w:after="120"/>
              <w:jc w:val="both"/>
              <w:rPr>
                <w:sz w:val="20"/>
                <w:szCs w:val="22"/>
              </w:rPr>
            </w:pPr>
            <w:r>
              <w:rPr>
                <w:sz w:val="20"/>
                <w:szCs w:val="22"/>
              </w:rPr>
              <w:t>$600,000</w:t>
            </w:r>
          </w:p>
        </w:tc>
        <w:tc>
          <w:tcPr>
            <w:tcW w:w="2142" w:type="dxa"/>
          </w:tcPr>
          <w:p w:rsidR="001A0E9F" w:rsidRDefault="001A0E9F" w:rsidP="007601B0">
            <w:pPr>
              <w:pStyle w:val="Default"/>
              <w:tabs>
                <w:tab w:val="left" w:pos="567"/>
              </w:tabs>
              <w:snapToGrid w:val="0"/>
              <w:spacing w:after="120"/>
              <w:jc w:val="both"/>
              <w:rPr>
                <w:sz w:val="20"/>
                <w:szCs w:val="22"/>
              </w:rPr>
            </w:pPr>
            <w:r>
              <w:rPr>
                <w:sz w:val="20"/>
                <w:szCs w:val="22"/>
              </w:rPr>
              <w:t>$300,000</w:t>
            </w:r>
          </w:p>
        </w:tc>
      </w:tr>
      <w:tr w:rsidR="001A0E9F" w:rsidTr="007601B0">
        <w:tc>
          <w:tcPr>
            <w:tcW w:w="2141" w:type="dxa"/>
          </w:tcPr>
          <w:p w:rsidR="001A0E9F" w:rsidRDefault="001A0E9F" w:rsidP="007601B0">
            <w:pPr>
              <w:pStyle w:val="Default"/>
              <w:tabs>
                <w:tab w:val="left" w:pos="567"/>
              </w:tabs>
              <w:snapToGrid w:val="0"/>
              <w:spacing w:after="120"/>
              <w:jc w:val="both"/>
              <w:rPr>
                <w:sz w:val="20"/>
                <w:szCs w:val="22"/>
              </w:rPr>
            </w:pPr>
            <w:r>
              <w:rPr>
                <w:sz w:val="20"/>
                <w:szCs w:val="22"/>
              </w:rPr>
              <w:t>End of Year 1</w:t>
            </w:r>
          </w:p>
        </w:tc>
        <w:tc>
          <w:tcPr>
            <w:tcW w:w="2142" w:type="dxa"/>
          </w:tcPr>
          <w:p w:rsidR="001A0E9F" w:rsidRDefault="001A0E9F" w:rsidP="007601B0">
            <w:pPr>
              <w:pStyle w:val="Default"/>
              <w:tabs>
                <w:tab w:val="left" w:pos="567"/>
              </w:tabs>
              <w:snapToGrid w:val="0"/>
              <w:spacing w:after="120"/>
              <w:jc w:val="both"/>
              <w:rPr>
                <w:sz w:val="20"/>
                <w:szCs w:val="22"/>
              </w:rPr>
            </w:pPr>
            <w:r>
              <w:rPr>
                <w:sz w:val="20"/>
                <w:szCs w:val="22"/>
              </w:rPr>
              <w:t>$300,000</w:t>
            </w:r>
          </w:p>
        </w:tc>
        <w:tc>
          <w:tcPr>
            <w:tcW w:w="2142" w:type="dxa"/>
          </w:tcPr>
          <w:p w:rsidR="001A0E9F" w:rsidRDefault="001A0E9F" w:rsidP="007601B0">
            <w:pPr>
              <w:pStyle w:val="Default"/>
              <w:tabs>
                <w:tab w:val="left" w:pos="567"/>
              </w:tabs>
              <w:snapToGrid w:val="0"/>
              <w:spacing w:after="120"/>
              <w:jc w:val="both"/>
              <w:rPr>
                <w:sz w:val="20"/>
                <w:szCs w:val="22"/>
              </w:rPr>
            </w:pPr>
            <w:r>
              <w:rPr>
                <w:sz w:val="20"/>
                <w:szCs w:val="22"/>
              </w:rPr>
              <w:t>$500,000</w:t>
            </w:r>
          </w:p>
        </w:tc>
        <w:tc>
          <w:tcPr>
            <w:tcW w:w="2142" w:type="dxa"/>
          </w:tcPr>
          <w:p w:rsidR="001A0E9F" w:rsidRDefault="001A0E9F" w:rsidP="007601B0">
            <w:pPr>
              <w:pStyle w:val="Default"/>
              <w:tabs>
                <w:tab w:val="left" w:pos="567"/>
              </w:tabs>
              <w:snapToGrid w:val="0"/>
              <w:spacing w:after="120"/>
              <w:jc w:val="both"/>
              <w:rPr>
                <w:sz w:val="20"/>
                <w:szCs w:val="22"/>
              </w:rPr>
            </w:pPr>
            <w:r>
              <w:rPr>
                <w:sz w:val="20"/>
                <w:szCs w:val="22"/>
              </w:rPr>
              <w:t>$300,000</w:t>
            </w:r>
          </w:p>
        </w:tc>
      </w:tr>
      <w:tr w:rsidR="001A0E9F" w:rsidTr="007601B0">
        <w:tc>
          <w:tcPr>
            <w:tcW w:w="2141" w:type="dxa"/>
          </w:tcPr>
          <w:p w:rsidR="001A0E9F" w:rsidRDefault="001A0E9F" w:rsidP="007601B0">
            <w:pPr>
              <w:pStyle w:val="Default"/>
              <w:tabs>
                <w:tab w:val="left" w:pos="567"/>
              </w:tabs>
              <w:snapToGrid w:val="0"/>
              <w:spacing w:after="120"/>
              <w:jc w:val="both"/>
              <w:rPr>
                <w:sz w:val="20"/>
                <w:szCs w:val="22"/>
              </w:rPr>
            </w:pPr>
            <w:r>
              <w:rPr>
                <w:sz w:val="20"/>
                <w:szCs w:val="22"/>
              </w:rPr>
              <w:t>End of Year 2</w:t>
            </w:r>
          </w:p>
        </w:tc>
        <w:tc>
          <w:tcPr>
            <w:tcW w:w="2142" w:type="dxa"/>
          </w:tcPr>
          <w:p w:rsidR="001A0E9F" w:rsidRDefault="001A0E9F" w:rsidP="007601B0">
            <w:pPr>
              <w:pStyle w:val="Default"/>
              <w:tabs>
                <w:tab w:val="left" w:pos="567"/>
              </w:tabs>
              <w:snapToGrid w:val="0"/>
              <w:spacing w:after="120"/>
              <w:jc w:val="both"/>
              <w:rPr>
                <w:sz w:val="20"/>
                <w:szCs w:val="22"/>
              </w:rPr>
            </w:pPr>
            <w:r>
              <w:rPr>
                <w:sz w:val="20"/>
                <w:szCs w:val="22"/>
              </w:rPr>
              <w:t>$300,000</w:t>
            </w:r>
          </w:p>
        </w:tc>
        <w:tc>
          <w:tcPr>
            <w:tcW w:w="2142" w:type="dxa"/>
          </w:tcPr>
          <w:p w:rsidR="001A0E9F" w:rsidRDefault="001A0E9F" w:rsidP="007601B0">
            <w:pPr>
              <w:pStyle w:val="Default"/>
              <w:tabs>
                <w:tab w:val="left" w:pos="567"/>
              </w:tabs>
              <w:snapToGrid w:val="0"/>
              <w:spacing w:after="120"/>
              <w:jc w:val="both"/>
              <w:rPr>
                <w:sz w:val="20"/>
                <w:szCs w:val="22"/>
              </w:rPr>
            </w:pPr>
            <w:r>
              <w:rPr>
                <w:sz w:val="20"/>
                <w:szCs w:val="22"/>
              </w:rPr>
              <w:t>$400,000</w:t>
            </w:r>
          </w:p>
        </w:tc>
        <w:tc>
          <w:tcPr>
            <w:tcW w:w="2142" w:type="dxa"/>
          </w:tcPr>
          <w:p w:rsidR="001A0E9F" w:rsidRDefault="001A0E9F" w:rsidP="007601B0">
            <w:pPr>
              <w:pStyle w:val="Default"/>
              <w:tabs>
                <w:tab w:val="left" w:pos="567"/>
              </w:tabs>
              <w:snapToGrid w:val="0"/>
              <w:spacing w:after="120"/>
              <w:jc w:val="both"/>
              <w:rPr>
                <w:sz w:val="20"/>
                <w:szCs w:val="22"/>
              </w:rPr>
            </w:pPr>
            <w:r>
              <w:rPr>
                <w:sz w:val="20"/>
                <w:szCs w:val="22"/>
              </w:rPr>
              <w:t>$300,000</w:t>
            </w:r>
          </w:p>
        </w:tc>
      </w:tr>
      <w:tr w:rsidR="001A0E9F" w:rsidTr="007601B0">
        <w:tc>
          <w:tcPr>
            <w:tcW w:w="2141" w:type="dxa"/>
          </w:tcPr>
          <w:p w:rsidR="001A0E9F" w:rsidRDefault="001A0E9F" w:rsidP="007601B0">
            <w:pPr>
              <w:pStyle w:val="Default"/>
              <w:tabs>
                <w:tab w:val="left" w:pos="567"/>
              </w:tabs>
              <w:snapToGrid w:val="0"/>
              <w:spacing w:after="120"/>
              <w:jc w:val="both"/>
              <w:rPr>
                <w:sz w:val="20"/>
                <w:szCs w:val="22"/>
              </w:rPr>
            </w:pPr>
            <w:r>
              <w:rPr>
                <w:sz w:val="20"/>
                <w:szCs w:val="22"/>
              </w:rPr>
              <w:t>End of Year 3</w:t>
            </w:r>
          </w:p>
        </w:tc>
        <w:tc>
          <w:tcPr>
            <w:tcW w:w="2142" w:type="dxa"/>
          </w:tcPr>
          <w:p w:rsidR="001A0E9F" w:rsidRDefault="001A0E9F" w:rsidP="007601B0">
            <w:pPr>
              <w:pStyle w:val="Default"/>
              <w:tabs>
                <w:tab w:val="left" w:pos="567"/>
              </w:tabs>
              <w:snapToGrid w:val="0"/>
              <w:spacing w:after="120"/>
              <w:jc w:val="both"/>
              <w:rPr>
                <w:sz w:val="20"/>
                <w:szCs w:val="22"/>
              </w:rPr>
            </w:pPr>
            <w:r>
              <w:rPr>
                <w:sz w:val="20"/>
                <w:szCs w:val="22"/>
              </w:rPr>
              <w:t>$300,000</w:t>
            </w:r>
          </w:p>
        </w:tc>
        <w:tc>
          <w:tcPr>
            <w:tcW w:w="2142" w:type="dxa"/>
          </w:tcPr>
          <w:p w:rsidR="001A0E9F" w:rsidRDefault="001A0E9F" w:rsidP="007601B0">
            <w:pPr>
              <w:pStyle w:val="Default"/>
              <w:tabs>
                <w:tab w:val="left" w:pos="567"/>
              </w:tabs>
              <w:snapToGrid w:val="0"/>
              <w:spacing w:after="120"/>
              <w:jc w:val="both"/>
              <w:rPr>
                <w:sz w:val="20"/>
                <w:szCs w:val="22"/>
              </w:rPr>
            </w:pPr>
            <w:r>
              <w:rPr>
                <w:sz w:val="20"/>
                <w:szCs w:val="22"/>
              </w:rPr>
              <w:t>$300,000</w:t>
            </w:r>
          </w:p>
        </w:tc>
        <w:tc>
          <w:tcPr>
            <w:tcW w:w="2142" w:type="dxa"/>
          </w:tcPr>
          <w:p w:rsidR="001A0E9F" w:rsidRDefault="001A0E9F" w:rsidP="007601B0">
            <w:pPr>
              <w:pStyle w:val="Default"/>
              <w:tabs>
                <w:tab w:val="left" w:pos="567"/>
              </w:tabs>
              <w:snapToGrid w:val="0"/>
              <w:spacing w:after="120"/>
              <w:jc w:val="both"/>
              <w:rPr>
                <w:sz w:val="20"/>
                <w:szCs w:val="22"/>
              </w:rPr>
            </w:pPr>
            <w:r>
              <w:rPr>
                <w:sz w:val="20"/>
                <w:szCs w:val="22"/>
              </w:rPr>
              <w:t>$300,000</w:t>
            </w:r>
          </w:p>
        </w:tc>
      </w:tr>
      <w:tr w:rsidR="001A0E9F" w:rsidTr="007601B0">
        <w:tc>
          <w:tcPr>
            <w:tcW w:w="2141" w:type="dxa"/>
          </w:tcPr>
          <w:p w:rsidR="001A0E9F" w:rsidRDefault="001A0E9F" w:rsidP="007601B0">
            <w:pPr>
              <w:pStyle w:val="Default"/>
              <w:tabs>
                <w:tab w:val="left" w:pos="567"/>
              </w:tabs>
              <w:snapToGrid w:val="0"/>
              <w:spacing w:after="120"/>
              <w:jc w:val="both"/>
              <w:rPr>
                <w:sz w:val="20"/>
                <w:szCs w:val="22"/>
              </w:rPr>
            </w:pPr>
            <w:r>
              <w:rPr>
                <w:sz w:val="20"/>
                <w:szCs w:val="22"/>
              </w:rPr>
              <w:t>End of Year 4</w:t>
            </w:r>
          </w:p>
        </w:tc>
        <w:tc>
          <w:tcPr>
            <w:tcW w:w="2142" w:type="dxa"/>
          </w:tcPr>
          <w:p w:rsidR="001A0E9F" w:rsidRDefault="001A0E9F" w:rsidP="007601B0">
            <w:pPr>
              <w:pStyle w:val="Default"/>
              <w:tabs>
                <w:tab w:val="left" w:pos="567"/>
              </w:tabs>
              <w:snapToGrid w:val="0"/>
              <w:spacing w:after="120"/>
              <w:jc w:val="both"/>
              <w:rPr>
                <w:sz w:val="20"/>
                <w:szCs w:val="22"/>
              </w:rPr>
            </w:pPr>
            <w:r>
              <w:rPr>
                <w:sz w:val="20"/>
                <w:szCs w:val="22"/>
              </w:rPr>
              <w:t>$300,000</w:t>
            </w:r>
          </w:p>
        </w:tc>
        <w:tc>
          <w:tcPr>
            <w:tcW w:w="2142" w:type="dxa"/>
          </w:tcPr>
          <w:p w:rsidR="001A0E9F" w:rsidRDefault="001A0E9F" w:rsidP="007601B0">
            <w:pPr>
              <w:pStyle w:val="Default"/>
              <w:tabs>
                <w:tab w:val="left" w:pos="567"/>
              </w:tabs>
              <w:snapToGrid w:val="0"/>
              <w:spacing w:after="120"/>
              <w:jc w:val="both"/>
              <w:rPr>
                <w:sz w:val="20"/>
                <w:szCs w:val="22"/>
              </w:rPr>
            </w:pPr>
            <w:r>
              <w:rPr>
                <w:sz w:val="20"/>
                <w:szCs w:val="22"/>
              </w:rPr>
              <w:t>$200,000</w:t>
            </w:r>
          </w:p>
        </w:tc>
        <w:tc>
          <w:tcPr>
            <w:tcW w:w="2142" w:type="dxa"/>
          </w:tcPr>
          <w:p w:rsidR="001A0E9F" w:rsidRDefault="001A0E9F" w:rsidP="007601B0">
            <w:pPr>
              <w:pStyle w:val="Default"/>
              <w:tabs>
                <w:tab w:val="left" w:pos="567"/>
              </w:tabs>
              <w:snapToGrid w:val="0"/>
              <w:spacing w:after="120"/>
              <w:jc w:val="both"/>
              <w:rPr>
                <w:sz w:val="20"/>
                <w:szCs w:val="22"/>
              </w:rPr>
            </w:pPr>
            <w:r>
              <w:rPr>
                <w:sz w:val="20"/>
                <w:szCs w:val="22"/>
              </w:rPr>
              <w:t>$200,000</w:t>
            </w:r>
          </w:p>
        </w:tc>
      </w:tr>
      <w:tr w:rsidR="001A0E9F" w:rsidTr="007601B0">
        <w:tc>
          <w:tcPr>
            <w:tcW w:w="2141" w:type="dxa"/>
          </w:tcPr>
          <w:p w:rsidR="001A0E9F" w:rsidRDefault="001A0E9F" w:rsidP="007601B0">
            <w:pPr>
              <w:pStyle w:val="Default"/>
              <w:tabs>
                <w:tab w:val="left" w:pos="567"/>
              </w:tabs>
              <w:snapToGrid w:val="0"/>
              <w:spacing w:after="120"/>
              <w:jc w:val="both"/>
              <w:rPr>
                <w:sz w:val="20"/>
                <w:szCs w:val="22"/>
              </w:rPr>
            </w:pPr>
            <w:r>
              <w:rPr>
                <w:sz w:val="20"/>
                <w:szCs w:val="22"/>
              </w:rPr>
              <w:t>End of Year 5</w:t>
            </w:r>
          </w:p>
        </w:tc>
        <w:tc>
          <w:tcPr>
            <w:tcW w:w="2142" w:type="dxa"/>
          </w:tcPr>
          <w:p w:rsidR="001A0E9F" w:rsidRDefault="001A0E9F" w:rsidP="007601B0">
            <w:pPr>
              <w:pStyle w:val="Default"/>
              <w:tabs>
                <w:tab w:val="left" w:pos="567"/>
              </w:tabs>
              <w:snapToGrid w:val="0"/>
              <w:spacing w:after="120"/>
              <w:jc w:val="both"/>
              <w:rPr>
                <w:sz w:val="20"/>
                <w:szCs w:val="22"/>
              </w:rPr>
            </w:pPr>
            <w:r>
              <w:rPr>
                <w:sz w:val="20"/>
                <w:szCs w:val="22"/>
              </w:rPr>
              <w:t>$300,000</w:t>
            </w:r>
          </w:p>
        </w:tc>
        <w:tc>
          <w:tcPr>
            <w:tcW w:w="2142" w:type="dxa"/>
          </w:tcPr>
          <w:p w:rsidR="001A0E9F" w:rsidRDefault="001A0E9F" w:rsidP="007601B0">
            <w:pPr>
              <w:pStyle w:val="Default"/>
              <w:tabs>
                <w:tab w:val="left" w:pos="567"/>
              </w:tabs>
              <w:snapToGrid w:val="0"/>
              <w:spacing w:after="120"/>
              <w:jc w:val="both"/>
              <w:rPr>
                <w:sz w:val="20"/>
                <w:szCs w:val="22"/>
              </w:rPr>
            </w:pPr>
            <w:r>
              <w:rPr>
                <w:sz w:val="20"/>
                <w:szCs w:val="22"/>
              </w:rPr>
              <w:t>$100,000</w:t>
            </w:r>
          </w:p>
        </w:tc>
        <w:tc>
          <w:tcPr>
            <w:tcW w:w="2142" w:type="dxa"/>
          </w:tcPr>
          <w:p w:rsidR="001A0E9F" w:rsidRDefault="001A0E9F" w:rsidP="007601B0">
            <w:pPr>
              <w:pStyle w:val="Default"/>
              <w:tabs>
                <w:tab w:val="left" w:pos="567"/>
              </w:tabs>
              <w:snapToGrid w:val="0"/>
              <w:spacing w:after="120"/>
              <w:jc w:val="both"/>
              <w:rPr>
                <w:sz w:val="20"/>
                <w:szCs w:val="22"/>
              </w:rPr>
            </w:pPr>
            <w:r>
              <w:rPr>
                <w:sz w:val="20"/>
                <w:szCs w:val="22"/>
              </w:rPr>
              <w:t>$100,000</w:t>
            </w:r>
          </w:p>
        </w:tc>
      </w:tr>
      <w:tr w:rsidR="001A0E9F" w:rsidTr="007601B0">
        <w:tc>
          <w:tcPr>
            <w:tcW w:w="2141" w:type="dxa"/>
          </w:tcPr>
          <w:p w:rsidR="001A0E9F" w:rsidRPr="001459F2" w:rsidRDefault="001A0E9F" w:rsidP="007601B0">
            <w:pPr>
              <w:pStyle w:val="Default"/>
              <w:tabs>
                <w:tab w:val="left" w:pos="567"/>
              </w:tabs>
              <w:snapToGrid w:val="0"/>
              <w:spacing w:after="120"/>
              <w:jc w:val="both"/>
              <w:rPr>
                <w:sz w:val="20"/>
                <w:szCs w:val="22"/>
              </w:rPr>
            </w:pPr>
            <w:r w:rsidRPr="001459F2">
              <w:rPr>
                <w:sz w:val="20"/>
                <w:szCs w:val="22"/>
              </w:rPr>
              <w:t>End of Year 6</w:t>
            </w:r>
          </w:p>
        </w:tc>
        <w:tc>
          <w:tcPr>
            <w:tcW w:w="2142" w:type="dxa"/>
          </w:tcPr>
          <w:p w:rsidR="001A0E9F" w:rsidRPr="001459F2" w:rsidRDefault="001A0E9F" w:rsidP="007601B0">
            <w:pPr>
              <w:pStyle w:val="Default"/>
              <w:tabs>
                <w:tab w:val="left" w:pos="567"/>
              </w:tabs>
              <w:snapToGrid w:val="0"/>
              <w:spacing w:after="120"/>
              <w:jc w:val="both"/>
              <w:rPr>
                <w:sz w:val="20"/>
                <w:szCs w:val="22"/>
              </w:rPr>
            </w:pPr>
            <w:r w:rsidRPr="001459F2">
              <w:rPr>
                <w:sz w:val="20"/>
                <w:szCs w:val="22"/>
              </w:rPr>
              <w:t>$300,000</w:t>
            </w:r>
          </w:p>
        </w:tc>
        <w:tc>
          <w:tcPr>
            <w:tcW w:w="2142" w:type="dxa"/>
          </w:tcPr>
          <w:p w:rsidR="001A0E9F" w:rsidRPr="001459F2" w:rsidRDefault="001A0E9F" w:rsidP="007601B0">
            <w:pPr>
              <w:pStyle w:val="Default"/>
              <w:tabs>
                <w:tab w:val="left" w:pos="567"/>
              </w:tabs>
              <w:snapToGrid w:val="0"/>
              <w:spacing w:after="120"/>
              <w:jc w:val="both"/>
              <w:rPr>
                <w:sz w:val="20"/>
                <w:szCs w:val="22"/>
              </w:rPr>
            </w:pPr>
            <w:r w:rsidRPr="001459F2">
              <w:rPr>
                <w:sz w:val="20"/>
                <w:szCs w:val="22"/>
              </w:rPr>
              <w:t>$0</w:t>
            </w:r>
          </w:p>
        </w:tc>
        <w:tc>
          <w:tcPr>
            <w:tcW w:w="2142" w:type="dxa"/>
          </w:tcPr>
          <w:p w:rsidR="001A0E9F" w:rsidRPr="001459F2" w:rsidRDefault="001A0E9F" w:rsidP="007601B0">
            <w:pPr>
              <w:pStyle w:val="Default"/>
              <w:tabs>
                <w:tab w:val="left" w:pos="567"/>
              </w:tabs>
              <w:snapToGrid w:val="0"/>
              <w:spacing w:after="120"/>
              <w:jc w:val="both"/>
              <w:rPr>
                <w:sz w:val="20"/>
                <w:szCs w:val="22"/>
              </w:rPr>
            </w:pPr>
            <w:r w:rsidRPr="001459F2">
              <w:rPr>
                <w:sz w:val="20"/>
                <w:szCs w:val="22"/>
              </w:rPr>
              <w:t>$0</w:t>
            </w:r>
          </w:p>
        </w:tc>
      </w:tr>
    </w:tbl>
    <w:p w:rsidR="001A0E9F" w:rsidRPr="00D517B1" w:rsidRDefault="001A0E9F" w:rsidP="001A0E9F">
      <w:pPr>
        <w:pStyle w:val="Default"/>
        <w:pBdr>
          <w:bottom w:val="single" w:sz="6" w:space="1" w:color="auto"/>
        </w:pBdr>
        <w:tabs>
          <w:tab w:val="left" w:pos="567"/>
        </w:tabs>
        <w:snapToGrid w:val="0"/>
        <w:spacing w:after="120"/>
        <w:ind w:left="567"/>
        <w:jc w:val="both"/>
        <w:rPr>
          <w:b/>
          <w:sz w:val="20"/>
          <w:szCs w:val="22"/>
        </w:rPr>
      </w:pPr>
    </w:p>
    <w:p w:rsidR="001A0E9F" w:rsidRDefault="001A0E9F" w:rsidP="00897043">
      <w:pPr>
        <w:pStyle w:val="Default"/>
        <w:numPr>
          <w:ilvl w:val="1"/>
          <w:numId w:val="9"/>
        </w:numPr>
        <w:tabs>
          <w:tab w:val="left" w:pos="567"/>
        </w:tabs>
        <w:snapToGrid w:val="0"/>
        <w:spacing w:after="120"/>
        <w:ind w:left="567" w:hanging="567"/>
        <w:jc w:val="both"/>
        <w:rPr>
          <w:sz w:val="22"/>
          <w:szCs w:val="22"/>
        </w:rPr>
      </w:pPr>
      <w:r>
        <w:rPr>
          <w:sz w:val="22"/>
          <w:szCs w:val="22"/>
        </w:rPr>
        <w:t>If the fee for termination required to be provided to the key service provi</w:t>
      </w:r>
      <w:r w:rsidR="00330593">
        <w:rPr>
          <w:sz w:val="22"/>
          <w:szCs w:val="22"/>
        </w:rPr>
        <w:t>der for the purposes of clause 9</w:t>
      </w:r>
      <w:r>
        <w:rPr>
          <w:sz w:val="22"/>
          <w:szCs w:val="22"/>
        </w:rPr>
        <w:t xml:space="preserve">(1)(b)(iii), or the payment required to be made to the key service provider for the purposes of subclause (1), is </w:t>
      </w:r>
      <w:r w:rsidRPr="000F30DC">
        <w:rPr>
          <w:sz w:val="22"/>
          <w:szCs w:val="22"/>
        </w:rPr>
        <w:t xml:space="preserve">not </w:t>
      </w:r>
      <w:r>
        <w:rPr>
          <w:sz w:val="22"/>
          <w:szCs w:val="22"/>
        </w:rPr>
        <w:t xml:space="preserve">a fixed amount </w:t>
      </w:r>
      <w:r w:rsidRPr="000F30DC">
        <w:rPr>
          <w:sz w:val="22"/>
          <w:szCs w:val="22"/>
        </w:rPr>
        <w:t>in the services agreement, then</w:t>
      </w:r>
      <w:r>
        <w:rPr>
          <w:sz w:val="22"/>
          <w:szCs w:val="22"/>
        </w:rPr>
        <w:t xml:space="preserve"> a reasonable </w:t>
      </w:r>
      <w:r w:rsidRPr="00335CCE">
        <w:rPr>
          <w:sz w:val="22"/>
          <w:szCs w:val="22"/>
        </w:rPr>
        <w:t xml:space="preserve">estimate of the amount </w:t>
      </w:r>
      <w:r>
        <w:rPr>
          <w:sz w:val="22"/>
          <w:szCs w:val="22"/>
        </w:rPr>
        <w:t xml:space="preserve">of that fee or payment </w:t>
      </w:r>
      <w:r w:rsidRPr="00335CCE">
        <w:rPr>
          <w:sz w:val="22"/>
          <w:szCs w:val="22"/>
        </w:rPr>
        <w:t>must be used</w:t>
      </w:r>
      <w:r>
        <w:rPr>
          <w:sz w:val="22"/>
          <w:szCs w:val="22"/>
        </w:rPr>
        <w:t>.</w:t>
      </w:r>
    </w:p>
    <w:p w:rsidR="001A0E9F" w:rsidRDefault="001A0E9F" w:rsidP="00255E09">
      <w:pPr>
        <w:pStyle w:val="Default"/>
        <w:pBdr>
          <w:bottom w:val="single" w:sz="4" w:space="1" w:color="auto"/>
        </w:pBdr>
        <w:tabs>
          <w:tab w:val="left" w:pos="567"/>
        </w:tabs>
        <w:snapToGrid w:val="0"/>
        <w:spacing w:before="0"/>
        <w:ind w:left="567"/>
        <w:jc w:val="both"/>
        <w:rPr>
          <w:sz w:val="22"/>
          <w:szCs w:val="22"/>
        </w:rPr>
      </w:pPr>
    </w:p>
    <w:p w:rsidR="001A0E9F" w:rsidRDefault="001A0E9F" w:rsidP="00321D7A">
      <w:pPr>
        <w:pStyle w:val="Default"/>
        <w:tabs>
          <w:tab w:val="left" w:pos="567"/>
        </w:tabs>
        <w:snapToGrid w:val="0"/>
        <w:spacing w:after="120"/>
        <w:ind w:left="567"/>
        <w:jc w:val="both"/>
        <w:rPr>
          <w:b/>
          <w:sz w:val="20"/>
          <w:szCs w:val="20"/>
        </w:rPr>
      </w:pPr>
      <w:r w:rsidRPr="00335CCE">
        <w:rPr>
          <w:b/>
          <w:sz w:val="20"/>
          <w:szCs w:val="20"/>
        </w:rPr>
        <w:t>Example</w:t>
      </w:r>
    </w:p>
    <w:p w:rsidR="001A0E9F" w:rsidRDefault="001A0E9F" w:rsidP="00321D7A">
      <w:pPr>
        <w:pStyle w:val="Default"/>
        <w:pBdr>
          <w:bottom w:val="single" w:sz="4" w:space="1" w:color="auto"/>
        </w:pBdr>
        <w:tabs>
          <w:tab w:val="left" w:pos="567"/>
        </w:tabs>
        <w:snapToGrid w:val="0"/>
        <w:spacing w:after="120"/>
        <w:ind w:left="567"/>
        <w:jc w:val="both"/>
        <w:rPr>
          <w:sz w:val="20"/>
          <w:szCs w:val="20"/>
        </w:rPr>
      </w:pPr>
      <w:r>
        <w:rPr>
          <w:sz w:val="20"/>
          <w:szCs w:val="20"/>
        </w:rPr>
        <w:t>Investment company A has agreed to pay investment manager B an annual performance fee of 20% of net gains in the equity of the company.  To calculate the fixed amount of the payment required to be made to investment manager B, A will need to make a reasonable estimate of the anticipated equity of the company at the end of each financial year over the remaining term of the agreement.</w:t>
      </w:r>
    </w:p>
    <w:p w:rsidR="00255E09" w:rsidRPr="00135222" w:rsidRDefault="00255E09" w:rsidP="00321D7A">
      <w:pPr>
        <w:pStyle w:val="Default"/>
        <w:pBdr>
          <w:bottom w:val="single" w:sz="4" w:space="1" w:color="auto"/>
        </w:pBdr>
        <w:tabs>
          <w:tab w:val="left" w:pos="567"/>
        </w:tabs>
        <w:snapToGrid w:val="0"/>
        <w:spacing w:after="120"/>
        <w:ind w:left="567"/>
        <w:jc w:val="both"/>
        <w:rPr>
          <w:sz w:val="20"/>
          <w:szCs w:val="20"/>
        </w:rPr>
      </w:pPr>
    </w:p>
    <w:p w:rsidR="007760FD" w:rsidRPr="00445BD6" w:rsidRDefault="00A405FE" w:rsidP="00321D7A">
      <w:pPr>
        <w:pStyle w:val="Heading1"/>
        <w:numPr>
          <w:ilvl w:val="0"/>
          <w:numId w:val="9"/>
        </w:numPr>
        <w:ind w:left="567" w:hanging="567"/>
        <w:rPr>
          <w:sz w:val="22"/>
        </w:rPr>
      </w:pPr>
      <w:bookmarkStart w:id="14" w:name="_Toc473296211"/>
      <w:r w:rsidRPr="00445BD6">
        <w:rPr>
          <w:sz w:val="22"/>
        </w:rPr>
        <w:t xml:space="preserve">Non-application to </w:t>
      </w:r>
      <w:r w:rsidR="00297045">
        <w:rPr>
          <w:sz w:val="22"/>
        </w:rPr>
        <w:t>NZX main board shares</w:t>
      </w:r>
      <w:bookmarkEnd w:id="14"/>
    </w:p>
    <w:p w:rsidR="00A405FE" w:rsidRPr="00154458" w:rsidRDefault="00627254" w:rsidP="00297045">
      <w:pPr>
        <w:pStyle w:val="Default"/>
        <w:snapToGrid w:val="0"/>
        <w:ind w:left="567"/>
        <w:jc w:val="both"/>
        <w:rPr>
          <w:lang w:eastAsia="en-US"/>
        </w:rPr>
      </w:pPr>
      <w:r>
        <w:rPr>
          <w:sz w:val="22"/>
          <w:szCs w:val="22"/>
        </w:rPr>
        <w:t xml:space="preserve">Despite clause </w:t>
      </w:r>
      <w:r w:rsidR="001A0E9F">
        <w:rPr>
          <w:sz w:val="22"/>
          <w:szCs w:val="22"/>
        </w:rPr>
        <w:t>6</w:t>
      </w:r>
      <w:r>
        <w:rPr>
          <w:sz w:val="22"/>
          <w:szCs w:val="22"/>
        </w:rPr>
        <w:t xml:space="preserve">, this notice </w:t>
      </w:r>
      <w:r w:rsidR="00A405FE" w:rsidRPr="00D83008">
        <w:rPr>
          <w:sz w:val="22"/>
          <w:szCs w:val="22"/>
        </w:rPr>
        <w:t>do</w:t>
      </w:r>
      <w:r w:rsidR="00563474">
        <w:rPr>
          <w:sz w:val="22"/>
          <w:szCs w:val="22"/>
        </w:rPr>
        <w:t>es</w:t>
      </w:r>
      <w:r w:rsidR="00A405FE" w:rsidRPr="00D83008">
        <w:rPr>
          <w:sz w:val="22"/>
          <w:szCs w:val="22"/>
        </w:rPr>
        <w:t xml:space="preserve"> not apply to shares </w:t>
      </w:r>
      <w:r w:rsidR="002860ED">
        <w:rPr>
          <w:sz w:val="22"/>
          <w:szCs w:val="22"/>
        </w:rPr>
        <w:t>that are</w:t>
      </w:r>
      <w:r w:rsidR="00297045">
        <w:rPr>
          <w:sz w:val="22"/>
          <w:szCs w:val="22"/>
        </w:rPr>
        <w:t xml:space="preserve"> </w:t>
      </w:r>
      <w:r w:rsidR="006B5C61">
        <w:rPr>
          <w:sz w:val="22"/>
          <w:szCs w:val="22"/>
        </w:rPr>
        <w:t>NZX main board s</w:t>
      </w:r>
      <w:r w:rsidR="002860ED">
        <w:rPr>
          <w:sz w:val="22"/>
          <w:szCs w:val="22"/>
        </w:rPr>
        <w:t>hares</w:t>
      </w:r>
      <w:r w:rsidR="00297045">
        <w:rPr>
          <w:sz w:val="22"/>
          <w:szCs w:val="22"/>
        </w:rPr>
        <w:t>.</w:t>
      </w:r>
      <w:r w:rsidR="001A0E9F" w:rsidRPr="00D83008" w:rsidDel="001A0E9F">
        <w:rPr>
          <w:sz w:val="22"/>
          <w:szCs w:val="22"/>
        </w:rPr>
        <w:t xml:space="preserve"> </w:t>
      </w:r>
    </w:p>
    <w:p w:rsidR="00A405FE" w:rsidRPr="00154458" w:rsidRDefault="00A405FE" w:rsidP="003C36CF">
      <w:pPr>
        <w:pStyle w:val="Style2"/>
        <w:shd w:val="clear" w:color="auto" w:fill="auto"/>
        <w:spacing w:after="0" w:line="240" w:lineRule="auto"/>
        <w:ind w:firstLine="0"/>
        <w:jc w:val="both"/>
        <w:rPr>
          <w:sz w:val="24"/>
          <w:szCs w:val="24"/>
          <w:lang w:eastAsia="en-US"/>
        </w:rPr>
      </w:pPr>
    </w:p>
    <w:p w:rsidR="005C3D81" w:rsidRPr="00154458" w:rsidRDefault="005C3D81" w:rsidP="003C36CF">
      <w:pPr>
        <w:pStyle w:val="Style2"/>
        <w:shd w:val="clear" w:color="auto" w:fill="auto"/>
        <w:spacing w:after="0" w:line="240" w:lineRule="auto"/>
        <w:ind w:firstLine="0"/>
        <w:jc w:val="both"/>
        <w:rPr>
          <w:sz w:val="24"/>
          <w:szCs w:val="24"/>
          <w:lang w:eastAsia="en-US"/>
        </w:rPr>
      </w:pPr>
      <w:r w:rsidRPr="00154458">
        <w:rPr>
          <w:sz w:val="24"/>
          <w:szCs w:val="24"/>
          <w:lang w:eastAsia="en-US"/>
        </w:rPr>
        <w:t xml:space="preserve">Dated at Auckland this </w:t>
      </w:r>
      <w:r w:rsidRPr="00154458">
        <w:rPr>
          <w:sz w:val="24"/>
          <w:szCs w:val="24"/>
          <w:lang w:eastAsia="en-US"/>
        </w:rPr>
        <w:tab/>
      </w:r>
      <w:r w:rsidRPr="00154458">
        <w:rPr>
          <w:sz w:val="24"/>
          <w:szCs w:val="24"/>
          <w:lang w:eastAsia="en-US"/>
        </w:rPr>
        <w:tab/>
      </w:r>
      <w:r w:rsidRPr="00154458">
        <w:rPr>
          <w:sz w:val="24"/>
          <w:szCs w:val="24"/>
          <w:lang w:eastAsia="en-US"/>
        </w:rPr>
        <w:tab/>
      </w:r>
      <w:r w:rsidRPr="00154458">
        <w:rPr>
          <w:sz w:val="24"/>
          <w:szCs w:val="24"/>
          <w:lang w:eastAsia="en-US"/>
        </w:rPr>
        <w:tab/>
        <w:t xml:space="preserve">day of </w:t>
      </w:r>
      <w:r w:rsidRPr="00154458">
        <w:rPr>
          <w:sz w:val="24"/>
          <w:szCs w:val="24"/>
          <w:lang w:eastAsia="en-US"/>
        </w:rPr>
        <w:tab/>
        <w:t xml:space="preserve">            </w:t>
      </w:r>
      <w:r w:rsidRPr="00154458">
        <w:rPr>
          <w:sz w:val="24"/>
          <w:szCs w:val="24"/>
          <w:lang w:eastAsia="en-US"/>
        </w:rPr>
        <w:tab/>
        <w:t>201</w:t>
      </w:r>
      <w:r w:rsidR="003E0802" w:rsidRPr="00154458">
        <w:rPr>
          <w:sz w:val="24"/>
          <w:szCs w:val="24"/>
          <w:lang w:eastAsia="en-US"/>
        </w:rPr>
        <w:t>7</w:t>
      </w:r>
      <w:r w:rsidRPr="00154458">
        <w:rPr>
          <w:sz w:val="24"/>
          <w:szCs w:val="24"/>
          <w:lang w:eastAsia="en-US"/>
        </w:rPr>
        <w:t>.</w:t>
      </w:r>
    </w:p>
    <w:p w:rsidR="005C3D81" w:rsidRPr="00154458" w:rsidRDefault="005C3D81" w:rsidP="003C36CF">
      <w:pPr>
        <w:pStyle w:val="Style2"/>
        <w:shd w:val="clear" w:color="auto" w:fill="auto"/>
        <w:spacing w:after="0" w:line="240" w:lineRule="auto"/>
        <w:ind w:firstLine="0"/>
        <w:jc w:val="both"/>
        <w:rPr>
          <w:sz w:val="24"/>
          <w:szCs w:val="24"/>
          <w:lang w:eastAsia="en-US"/>
        </w:rPr>
      </w:pPr>
    </w:p>
    <w:p w:rsidR="005C3D81" w:rsidRDefault="005C3D81" w:rsidP="003C36CF">
      <w:pPr>
        <w:pStyle w:val="Style2"/>
        <w:shd w:val="clear" w:color="auto" w:fill="auto"/>
        <w:spacing w:after="0" w:line="240" w:lineRule="auto"/>
        <w:ind w:firstLine="0"/>
        <w:jc w:val="both"/>
        <w:rPr>
          <w:sz w:val="24"/>
          <w:szCs w:val="24"/>
          <w:lang w:eastAsia="en-US"/>
        </w:rPr>
      </w:pPr>
    </w:p>
    <w:p w:rsidR="00C509B6" w:rsidRDefault="00C509B6" w:rsidP="003C36CF">
      <w:pPr>
        <w:pStyle w:val="Style2"/>
        <w:shd w:val="clear" w:color="auto" w:fill="auto"/>
        <w:spacing w:after="0" w:line="240" w:lineRule="auto"/>
        <w:ind w:firstLine="0"/>
        <w:jc w:val="both"/>
        <w:rPr>
          <w:sz w:val="24"/>
          <w:szCs w:val="24"/>
          <w:lang w:eastAsia="en-US"/>
        </w:rPr>
      </w:pPr>
    </w:p>
    <w:p w:rsidR="00C509B6" w:rsidRPr="00154458" w:rsidRDefault="00C509B6" w:rsidP="003C36CF">
      <w:pPr>
        <w:pStyle w:val="Style2"/>
        <w:shd w:val="clear" w:color="auto" w:fill="auto"/>
        <w:spacing w:after="0" w:line="240" w:lineRule="auto"/>
        <w:ind w:firstLine="0"/>
        <w:jc w:val="both"/>
        <w:rPr>
          <w:sz w:val="24"/>
          <w:szCs w:val="24"/>
          <w:lang w:eastAsia="en-US"/>
        </w:rPr>
      </w:pPr>
    </w:p>
    <w:p w:rsidR="005C3D81" w:rsidRPr="00154458" w:rsidRDefault="005C3D81" w:rsidP="00195695">
      <w:pPr>
        <w:pStyle w:val="Style2"/>
        <w:shd w:val="clear" w:color="auto" w:fill="auto"/>
        <w:spacing w:after="0" w:line="240" w:lineRule="auto"/>
        <w:ind w:firstLine="0"/>
        <w:rPr>
          <w:sz w:val="24"/>
          <w:szCs w:val="24"/>
          <w:lang w:eastAsia="en-US"/>
        </w:rPr>
      </w:pPr>
      <w:r w:rsidRPr="00154458">
        <w:rPr>
          <w:sz w:val="24"/>
          <w:szCs w:val="24"/>
          <w:lang w:eastAsia="en-US"/>
        </w:rPr>
        <w:t>General Counsel</w:t>
      </w:r>
    </w:p>
    <w:p w:rsidR="005C3D81" w:rsidRPr="00154458" w:rsidRDefault="005C3D81" w:rsidP="00255E09">
      <w:pPr>
        <w:keepNext/>
        <w:spacing w:before="240"/>
        <w:jc w:val="center"/>
        <w:rPr>
          <w:b/>
          <w:sz w:val="24"/>
        </w:rPr>
      </w:pPr>
      <w:r w:rsidRPr="00154458">
        <w:rPr>
          <w:b/>
          <w:sz w:val="24"/>
        </w:rPr>
        <w:t>Statement of reasons</w:t>
      </w:r>
    </w:p>
    <w:p w:rsidR="00111016" w:rsidRPr="00154458" w:rsidRDefault="003E0802" w:rsidP="003E0802">
      <w:pPr>
        <w:spacing w:before="240"/>
        <w:rPr>
          <w:rFonts w:asciiTheme="minorHAnsi" w:hAnsiTheme="minorHAnsi"/>
          <w:color w:val="auto"/>
          <w:sz w:val="24"/>
        </w:rPr>
      </w:pPr>
      <w:r w:rsidRPr="00154458">
        <w:rPr>
          <w:sz w:val="24"/>
        </w:rPr>
        <w:t xml:space="preserve">This notice comes into force on </w:t>
      </w:r>
      <w:r w:rsidR="001B6B70" w:rsidRPr="00154458">
        <w:rPr>
          <w:sz w:val="24"/>
        </w:rPr>
        <w:t>[XXXXX]</w:t>
      </w:r>
      <w:r w:rsidR="00F56A85" w:rsidRPr="00154458">
        <w:rPr>
          <w:sz w:val="24"/>
        </w:rPr>
        <w:t xml:space="preserve">.  </w:t>
      </w:r>
      <w:r w:rsidR="003D0F13" w:rsidRPr="00154458">
        <w:rPr>
          <w:sz w:val="24"/>
        </w:rPr>
        <w:t xml:space="preserve">The notice </w:t>
      </w:r>
      <w:r w:rsidR="00F56A85" w:rsidRPr="00154458">
        <w:rPr>
          <w:sz w:val="24"/>
        </w:rPr>
        <w:t xml:space="preserve">declares that </w:t>
      </w:r>
      <w:r w:rsidR="000D2258" w:rsidRPr="00154458">
        <w:rPr>
          <w:sz w:val="24"/>
        </w:rPr>
        <w:t xml:space="preserve">certain shares in </w:t>
      </w:r>
      <w:r w:rsidR="00F56A85" w:rsidRPr="00154458">
        <w:rPr>
          <w:sz w:val="24"/>
        </w:rPr>
        <w:t xml:space="preserve">investment companies </w:t>
      </w:r>
      <w:r w:rsidRPr="00154458">
        <w:rPr>
          <w:sz w:val="24"/>
        </w:rPr>
        <w:t xml:space="preserve">are </w:t>
      </w:r>
      <w:r w:rsidR="00F56A85" w:rsidRPr="00154458">
        <w:rPr>
          <w:sz w:val="24"/>
        </w:rPr>
        <w:t xml:space="preserve">managed investment products rather than equity securities </w:t>
      </w:r>
      <w:r w:rsidRPr="00154458">
        <w:rPr>
          <w:sz w:val="24"/>
        </w:rPr>
        <w:t>for the purposes of the Financial Markets Conduct Act (</w:t>
      </w:r>
      <w:r w:rsidRPr="00154458">
        <w:rPr>
          <w:b/>
          <w:sz w:val="24"/>
        </w:rPr>
        <w:t>Act</w:t>
      </w:r>
      <w:r w:rsidR="003D0F13" w:rsidRPr="00154458">
        <w:rPr>
          <w:sz w:val="24"/>
        </w:rPr>
        <w:t xml:space="preserve">); and </w:t>
      </w:r>
      <w:r w:rsidR="00F56A85" w:rsidRPr="00154458">
        <w:rPr>
          <w:sz w:val="24"/>
        </w:rPr>
        <w:t>that the company that issues the shares is a managed investment scheme</w:t>
      </w:r>
      <w:r w:rsidR="001007DC" w:rsidRPr="00154458">
        <w:rPr>
          <w:sz w:val="24"/>
        </w:rPr>
        <w:t xml:space="preserve">.  </w:t>
      </w:r>
      <w:r w:rsidR="003D0F13" w:rsidRPr="00154458">
        <w:rPr>
          <w:sz w:val="24"/>
        </w:rPr>
        <w:t xml:space="preserve">The notice also declares that </w:t>
      </w:r>
      <w:r w:rsidR="003D0F13" w:rsidRPr="00154458">
        <w:rPr>
          <w:rFonts w:asciiTheme="minorHAnsi" w:hAnsiTheme="minorHAnsi"/>
          <w:color w:val="auto"/>
          <w:sz w:val="24"/>
        </w:rPr>
        <w:t xml:space="preserve">an offer of the </w:t>
      </w:r>
      <w:r w:rsidR="003D0F13" w:rsidRPr="00154458">
        <w:rPr>
          <w:rFonts w:asciiTheme="minorHAnsi" w:hAnsiTheme="minorHAnsi"/>
          <w:color w:val="auto"/>
          <w:sz w:val="24"/>
        </w:rPr>
        <w:lastRenderedPageBreak/>
        <w:t xml:space="preserve">shares </w:t>
      </w:r>
      <w:r w:rsidR="007D0D59" w:rsidRPr="00154458">
        <w:rPr>
          <w:rFonts w:asciiTheme="minorHAnsi" w:hAnsiTheme="minorHAnsi"/>
          <w:color w:val="auto"/>
          <w:sz w:val="24"/>
        </w:rPr>
        <w:t>that could otherwise be made as</w:t>
      </w:r>
      <w:r w:rsidR="00965502" w:rsidRPr="00154458">
        <w:rPr>
          <w:rFonts w:asciiTheme="minorHAnsi" w:hAnsiTheme="minorHAnsi"/>
          <w:color w:val="auto"/>
          <w:sz w:val="24"/>
        </w:rPr>
        <w:t xml:space="preserve"> an unregulated offer in reliance on the exclusion in Schedule 1 of the Act for offers made through a licensed intermediary (e.g. a licensed crowdfunding service provider)</w:t>
      </w:r>
      <w:r w:rsidR="007D0D59" w:rsidRPr="00154458">
        <w:rPr>
          <w:rFonts w:asciiTheme="minorHAnsi" w:hAnsiTheme="minorHAnsi"/>
          <w:color w:val="auto"/>
          <w:sz w:val="24"/>
        </w:rPr>
        <w:t xml:space="preserve"> is required </w:t>
      </w:r>
      <w:r w:rsidR="00F05856" w:rsidRPr="00154458">
        <w:rPr>
          <w:rFonts w:asciiTheme="minorHAnsi" w:hAnsiTheme="minorHAnsi"/>
          <w:color w:val="auto"/>
          <w:sz w:val="24"/>
        </w:rPr>
        <w:t>to</w:t>
      </w:r>
      <w:r w:rsidR="00C509B6">
        <w:rPr>
          <w:rFonts w:asciiTheme="minorHAnsi" w:hAnsiTheme="minorHAnsi"/>
          <w:color w:val="auto"/>
          <w:sz w:val="24"/>
        </w:rPr>
        <w:t xml:space="preserve"> be made as a regulated offer.</w:t>
      </w:r>
    </w:p>
    <w:p w:rsidR="00C652C3" w:rsidRPr="00154458" w:rsidRDefault="00C652C3" w:rsidP="003E0802">
      <w:pPr>
        <w:spacing w:before="240"/>
        <w:rPr>
          <w:rFonts w:asciiTheme="minorHAnsi" w:hAnsiTheme="minorHAnsi"/>
          <w:color w:val="auto"/>
          <w:sz w:val="24"/>
        </w:rPr>
      </w:pPr>
      <w:r w:rsidRPr="00154458">
        <w:rPr>
          <w:rFonts w:asciiTheme="minorHAnsi" w:hAnsiTheme="minorHAnsi"/>
          <w:color w:val="auto"/>
          <w:sz w:val="24"/>
        </w:rPr>
        <w:t xml:space="preserve">The notice applies to shares in </w:t>
      </w:r>
      <w:r w:rsidR="00F05856" w:rsidRPr="00154458">
        <w:rPr>
          <w:rFonts w:asciiTheme="minorHAnsi" w:hAnsiTheme="minorHAnsi"/>
          <w:color w:val="auto"/>
          <w:sz w:val="24"/>
        </w:rPr>
        <w:t xml:space="preserve">investment </w:t>
      </w:r>
      <w:r w:rsidR="00176F8C" w:rsidRPr="00154458">
        <w:rPr>
          <w:rFonts w:asciiTheme="minorHAnsi" w:hAnsiTheme="minorHAnsi"/>
          <w:color w:val="auto"/>
          <w:sz w:val="24"/>
        </w:rPr>
        <w:t>companies</w:t>
      </w:r>
      <w:r w:rsidR="00297045">
        <w:rPr>
          <w:rFonts w:asciiTheme="minorHAnsi" w:hAnsiTheme="minorHAnsi"/>
          <w:color w:val="auto"/>
          <w:sz w:val="24"/>
        </w:rPr>
        <w:t xml:space="preserve"> (excluding</w:t>
      </w:r>
      <w:r w:rsidR="00094ADF" w:rsidRPr="00154458">
        <w:rPr>
          <w:rFonts w:asciiTheme="minorHAnsi" w:hAnsiTheme="minorHAnsi"/>
          <w:color w:val="auto"/>
          <w:sz w:val="24"/>
        </w:rPr>
        <w:t xml:space="preserve"> </w:t>
      </w:r>
      <w:r w:rsidR="000774F8">
        <w:rPr>
          <w:rFonts w:asciiTheme="minorHAnsi" w:hAnsiTheme="minorHAnsi"/>
          <w:color w:val="auto"/>
          <w:sz w:val="24"/>
        </w:rPr>
        <w:t>shares quoted</w:t>
      </w:r>
      <w:r w:rsidR="001B6B70" w:rsidRPr="00154458">
        <w:rPr>
          <w:rFonts w:asciiTheme="minorHAnsi" w:hAnsiTheme="minorHAnsi"/>
          <w:color w:val="auto"/>
          <w:sz w:val="24"/>
        </w:rPr>
        <w:t xml:space="preserve"> on the main board of NZX</w:t>
      </w:r>
      <w:r w:rsidR="00DD3D52">
        <w:rPr>
          <w:rFonts w:asciiTheme="minorHAnsi" w:hAnsiTheme="minorHAnsi"/>
          <w:color w:val="auto"/>
          <w:sz w:val="24"/>
        </w:rPr>
        <w:t xml:space="preserve"> Limited</w:t>
      </w:r>
      <w:r w:rsidR="00094ADF" w:rsidRPr="00154458">
        <w:rPr>
          <w:rFonts w:asciiTheme="minorHAnsi" w:hAnsiTheme="minorHAnsi"/>
          <w:color w:val="auto"/>
          <w:sz w:val="24"/>
        </w:rPr>
        <w:t>)</w:t>
      </w:r>
      <w:r w:rsidR="00176F8C" w:rsidRPr="00154458">
        <w:rPr>
          <w:rFonts w:asciiTheme="minorHAnsi" w:hAnsiTheme="minorHAnsi"/>
          <w:color w:val="auto"/>
          <w:sz w:val="24"/>
        </w:rPr>
        <w:t xml:space="preserve"> that satisfy the criteri</w:t>
      </w:r>
      <w:r w:rsidR="00F05856" w:rsidRPr="00154458">
        <w:rPr>
          <w:rFonts w:asciiTheme="minorHAnsi" w:hAnsiTheme="minorHAnsi"/>
          <w:color w:val="auto"/>
          <w:sz w:val="24"/>
        </w:rPr>
        <w:t>a set out in the notice.  The criteria relate to circumstances where the shares offered do not confer</w:t>
      </w:r>
      <w:r w:rsidR="00111016" w:rsidRPr="00154458">
        <w:rPr>
          <w:rFonts w:asciiTheme="minorHAnsi" w:hAnsiTheme="minorHAnsi"/>
          <w:color w:val="auto"/>
          <w:sz w:val="24"/>
        </w:rPr>
        <w:t xml:space="preserve"> usual shareholder governance rights (su</w:t>
      </w:r>
      <w:r w:rsidR="00563155" w:rsidRPr="00154458">
        <w:rPr>
          <w:rFonts w:asciiTheme="minorHAnsi" w:hAnsiTheme="minorHAnsi"/>
          <w:color w:val="auto"/>
          <w:sz w:val="24"/>
        </w:rPr>
        <w:t xml:space="preserve">ch as shareholder voting rights to </w:t>
      </w:r>
      <w:r w:rsidR="00563155" w:rsidRPr="00154458">
        <w:rPr>
          <w:sz w:val="24"/>
        </w:rPr>
        <w:t>appoint or remove a director or auditor, adopt or alter the constitution, approve a major transaction, approve a company amalgamation, or decide to liquidate the company</w:t>
      </w:r>
      <w:r w:rsidR="00111016" w:rsidRPr="00154458">
        <w:rPr>
          <w:rFonts w:asciiTheme="minorHAnsi" w:hAnsiTheme="minorHAnsi"/>
          <w:color w:val="auto"/>
          <w:sz w:val="24"/>
        </w:rPr>
        <w:t>)</w:t>
      </w:r>
      <w:r w:rsidR="00F05856" w:rsidRPr="00154458">
        <w:rPr>
          <w:rFonts w:asciiTheme="minorHAnsi" w:hAnsiTheme="minorHAnsi"/>
          <w:color w:val="auto"/>
          <w:sz w:val="24"/>
        </w:rPr>
        <w:t xml:space="preserve">, or where a key service provider to the company is entrenched to </w:t>
      </w:r>
      <w:r w:rsidR="00ED65CD" w:rsidRPr="00154458">
        <w:rPr>
          <w:rFonts w:asciiTheme="minorHAnsi" w:hAnsiTheme="minorHAnsi"/>
          <w:color w:val="auto"/>
          <w:sz w:val="24"/>
        </w:rPr>
        <w:t xml:space="preserve">such </w:t>
      </w:r>
      <w:r w:rsidR="00F05856" w:rsidRPr="00154458">
        <w:rPr>
          <w:rFonts w:asciiTheme="minorHAnsi" w:hAnsiTheme="minorHAnsi"/>
          <w:color w:val="auto"/>
          <w:sz w:val="24"/>
        </w:rPr>
        <w:t xml:space="preserve">a degree that </w:t>
      </w:r>
      <w:r w:rsidR="001A0E9F">
        <w:rPr>
          <w:rFonts w:asciiTheme="minorHAnsi" w:hAnsiTheme="minorHAnsi"/>
          <w:color w:val="auto"/>
          <w:sz w:val="24"/>
        </w:rPr>
        <w:t>the</w:t>
      </w:r>
      <w:r w:rsidR="00F05856" w:rsidRPr="00154458">
        <w:rPr>
          <w:rFonts w:asciiTheme="minorHAnsi" w:hAnsiTheme="minorHAnsi"/>
          <w:color w:val="auto"/>
          <w:sz w:val="24"/>
        </w:rPr>
        <w:t xml:space="preserve"> ability to terminat</w:t>
      </w:r>
      <w:r w:rsidR="001A0E9F">
        <w:rPr>
          <w:rFonts w:asciiTheme="minorHAnsi" w:hAnsiTheme="minorHAnsi"/>
          <w:color w:val="auto"/>
          <w:sz w:val="24"/>
        </w:rPr>
        <w:t>e</w:t>
      </w:r>
      <w:r w:rsidR="00F05856" w:rsidRPr="00154458">
        <w:rPr>
          <w:rFonts w:asciiTheme="minorHAnsi" w:hAnsiTheme="minorHAnsi"/>
          <w:color w:val="auto"/>
          <w:sz w:val="24"/>
        </w:rPr>
        <w:t xml:space="preserve"> that service provider’s arrangements would be frustrated.</w:t>
      </w:r>
    </w:p>
    <w:p w:rsidR="003E0802" w:rsidRPr="00154458" w:rsidRDefault="003E0802" w:rsidP="00ED65CD">
      <w:pPr>
        <w:keepNext/>
        <w:spacing w:before="240"/>
        <w:rPr>
          <w:sz w:val="24"/>
        </w:rPr>
      </w:pPr>
      <w:r w:rsidRPr="00154458">
        <w:rPr>
          <w:sz w:val="24"/>
        </w:rPr>
        <w:t>The Financial Markets Authority</w:t>
      </w:r>
      <w:r w:rsidR="00223CDC" w:rsidRPr="00154458">
        <w:rPr>
          <w:sz w:val="24"/>
        </w:rPr>
        <w:t xml:space="preserve"> (</w:t>
      </w:r>
      <w:r w:rsidR="00223CDC" w:rsidRPr="00154458">
        <w:rPr>
          <w:b/>
          <w:sz w:val="24"/>
        </w:rPr>
        <w:t>FMA</w:t>
      </w:r>
      <w:r w:rsidR="00223CDC" w:rsidRPr="00154458">
        <w:rPr>
          <w:sz w:val="24"/>
        </w:rPr>
        <w:t>)</w:t>
      </w:r>
      <w:r w:rsidRPr="00154458">
        <w:rPr>
          <w:sz w:val="24"/>
        </w:rPr>
        <w:t xml:space="preserve">, </w:t>
      </w:r>
      <w:r w:rsidR="005032C6">
        <w:rPr>
          <w:sz w:val="24"/>
        </w:rPr>
        <w:t>having</w:t>
      </w:r>
      <w:r w:rsidRPr="00154458">
        <w:rPr>
          <w:sz w:val="24"/>
        </w:rPr>
        <w:t xml:space="preserve"> </w:t>
      </w:r>
      <w:r w:rsidR="001B6B70" w:rsidRPr="00154458">
        <w:rPr>
          <w:sz w:val="24"/>
        </w:rPr>
        <w:t>compl</w:t>
      </w:r>
      <w:r w:rsidR="005032C6">
        <w:rPr>
          <w:sz w:val="24"/>
        </w:rPr>
        <w:t>ied</w:t>
      </w:r>
      <w:r w:rsidR="001B6B70" w:rsidRPr="00154458">
        <w:rPr>
          <w:sz w:val="24"/>
        </w:rPr>
        <w:t xml:space="preserve"> with the requirements</w:t>
      </w:r>
      <w:r w:rsidRPr="00154458">
        <w:rPr>
          <w:sz w:val="24"/>
        </w:rPr>
        <w:t xml:space="preserve"> set out in section 563 of the Act, considers that it is appropriate to grant the designations because—</w:t>
      </w:r>
    </w:p>
    <w:p w:rsidR="003E0802" w:rsidRPr="00154458" w:rsidRDefault="003E0802" w:rsidP="003E0802">
      <w:pPr>
        <w:pStyle w:val="TableBullet"/>
        <w:ind w:left="567"/>
        <w:rPr>
          <w:sz w:val="24"/>
          <w:szCs w:val="24"/>
        </w:rPr>
      </w:pPr>
      <w:r w:rsidRPr="00154458">
        <w:rPr>
          <w:sz w:val="24"/>
          <w:szCs w:val="24"/>
        </w:rPr>
        <w:t>T</w:t>
      </w:r>
      <w:r w:rsidR="00BF7D02" w:rsidRPr="00154458">
        <w:rPr>
          <w:sz w:val="24"/>
          <w:szCs w:val="24"/>
        </w:rPr>
        <w:t xml:space="preserve">he designation of </w:t>
      </w:r>
      <w:r w:rsidR="00F05856" w:rsidRPr="00154458">
        <w:rPr>
          <w:sz w:val="24"/>
          <w:szCs w:val="24"/>
        </w:rPr>
        <w:t xml:space="preserve">the </w:t>
      </w:r>
      <w:r w:rsidR="00BF7D02" w:rsidRPr="00154458">
        <w:rPr>
          <w:sz w:val="24"/>
          <w:szCs w:val="24"/>
        </w:rPr>
        <w:t>shares as managed investment products</w:t>
      </w:r>
      <w:r w:rsidRPr="00154458">
        <w:rPr>
          <w:sz w:val="24"/>
          <w:szCs w:val="24"/>
        </w:rPr>
        <w:t>, and the consequential d</w:t>
      </w:r>
      <w:r w:rsidR="00BF7D02" w:rsidRPr="00154458">
        <w:rPr>
          <w:sz w:val="24"/>
          <w:szCs w:val="24"/>
        </w:rPr>
        <w:t>esignation of the company issuing those shares as a managed investment scheme</w:t>
      </w:r>
      <w:r w:rsidRPr="00154458">
        <w:rPr>
          <w:sz w:val="24"/>
          <w:szCs w:val="24"/>
        </w:rPr>
        <w:t>, is desirable because the sh</w:t>
      </w:r>
      <w:r w:rsidR="00BF7D02" w:rsidRPr="00154458">
        <w:rPr>
          <w:sz w:val="24"/>
          <w:szCs w:val="24"/>
        </w:rPr>
        <w:t>ares are in economic substance managed investment products</w:t>
      </w:r>
      <w:r w:rsidR="0025597E">
        <w:rPr>
          <w:sz w:val="24"/>
          <w:szCs w:val="24"/>
        </w:rPr>
        <w:t>.  This being the case,</w:t>
      </w:r>
      <w:r w:rsidRPr="00154458">
        <w:rPr>
          <w:sz w:val="24"/>
          <w:szCs w:val="24"/>
        </w:rPr>
        <w:t xml:space="preserve"> the requirements of the </w:t>
      </w:r>
      <w:r w:rsidR="00BF7D02" w:rsidRPr="00154458">
        <w:rPr>
          <w:sz w:val="24"/>
          <w:szCs w:val="24"/>
        </w:rPr>
        <w:t xml:space="preserve">managed investment scheme </w:t>
      </w:r>
      <w:r w:rsidRPr="00154458">
        <w:rPr>
          <w:sz w:val="24"/>
          <w:szCs w:val="24"/>
        </w:rPr>
        <w:t xml:space="preserve">regime will better </w:t>
      </w:r>
      <w:r w:rsidR="001007DC" w:rsidRPr="00154458">
        <w:rPr>
          <w:sz w:val="24"/>
          <w:szCs w:val="24"/>
        </w:rPr>
        <w:t xml:space="preserve">address the purposes of the </w:t>
      </w:r>
      <w:r w:rsidRPr="00154458">
        <w:rPr>
          <w:sz w:val="24"/>
          <w:szCs w:val="24"/>
        </w:rPr>
        <w:t>Act</w:t>
      </w:r>
      <w:r w:rsidR="00BF7D02" w:rsidRPr="00154458">
        <w:rPr>
          <w:sz w:val="24"/>
          <w:szCs w:val="24"/>
        </w:rPr>
        <w:t xml:space="preserve"> than the requirements of the equity securities regime</w:t>
      </w:r>
      <w:r w:rsidR="0025597E">
        <w:rPr>
          <w:sz w:val="24"/>
          <w:szCs w:val="24"/>
        </w:rPr>
        <w:t>, n</w:t>
      </w:r>
      <w:r w:rsidRPr="00154458">
        <w:rPr>
          <w:sz w:val="24"/>
          <w:szCs w:val="24"/>
        </w:rPr>
        <w:t xml:space="preserve">amely, the application of: </w:t>
      </w:r>
    </w:p>
    <w:p w:rsidR="00223CDC" w:rsidRPr="00154458" w:rsidRDefault="00ED65CD" w:rsidP="00E5302D">
      <w:pPr>
        <w:pStyle w:val="ListParagraph"/>
        <w:numPr>
          <w:ilvl w:val="0"/>
          <w:numId w:val="5"/>
        </w:numPr>
        <w:spacing w:before="0" w:after="200"/>
        <w:jc w:val="both"/>
        <w:rPr>
          <w:sz w:val="24"/>
        </w:rPr>
      </w:pPr>
      <w:r w:rsidRPr="00154458">
        <w:rPr>
          <w:sz w:val="24"/>
        </w:rPr>
        <w:t>Part 4 managed investment scheme</w:t>
      </w:r>
      <w:r w:rsidR="003E0802" w:rsidRPr="00154458">
        <w:rPr>
          <w:sz w:val="24"/>
        </w:rPr>
        <w:t xml:space="preserve"> governance requirements will ensure appropriate governance arrangements apply, and so provide for more effective monitoring and reduce governance risks associated with this class of shares;</w:t>
      </w:r>
    </w:p>
    <w:p w:rsidR="00223CDC" w:rsidRPr="00154458" w:rsidRDefault="00223CDC" w:rsidP="00223CDC">
      <w:pPr>
        <w:pStyle w:val="ListParagraph"/>
        <w:spacing w:before="0" w:after="200"/>
        <w:ind w:left="927"/>
        <w:jc w:val="both"/>
        <w:rPr>
          <w:sz w:val="24"/>
        </w:rPr>
      </w:pPr>
    </w:p>
    <w:p w:rsidR="003E0802" w:rsidRPr="00154458" w:rsidRDefault="00ED65CD" w:rsidP="00E5302D">
      <w:pPr>
        <w:pStyle w:val="ListParagraph"/>
        <w:numPr>
          <w:ilvl w:val="0"/>
          <w:numId w:val="5"/>
        </w:numPr>
        <w:spacing w:before="0" w:after="200"/>
        <w:jc w:val="both"/>
        <w:rPr>
          <w:sz w:val="24"/>
        </w:rPr>
      </w:pPr>
      <w:r w:rsidRPr="00154458">
        <w:rPr>
          <w:sz w:val="24"/>
        </w:rPr>
        <w:t>Part 3 managed investment scheme</w:t>
      </w:r>
      <w:r w:rsidR="003E0802" w:rsidRPr="00154458">
        <w:rPr>
          <w:sz w:val="24"/>
        </w:rPr>
        <w:t xml:space="preserve"> disclosure requirements will better enable investors offered these shares to make an informed decision as to whether to invest in the issuer. The ongoing disclosu</w:t>
      </w:r>
      <w:r w:rsidRPr="00154458">
        <w:rPr>
          <w:sz w:val="24"/>
        </w:rPr>
        <w:t>re requirements applying to managed investment schemes</w:t>
      </w:r>
      <w:r w:rsidR="003E0802" w:rsidRPr="00154458">
        <w:rPr>
          <w:sz w:val="24"/>
        </w:rPr>
        <w:t xml:space="preserve"> will better enable shareholders to monitor their investment.</w:t>
      </w:r>
    </w:p>
    <w:p w:rsidR="003E0802" w:rsidRPr="00154458" w:rsidRDefault="003E0802" w:rsidP="003E0802">
      <w:pPr>
        <w:pStyle w:val="TableBullet"/>
        <w:ind w:left="567"/>
        <w:rPr>
          <w:sz w:val="24"/>
          <w:szCs w:val="24"/>
        </w:rPr>
      </w:pPr>
      <w:r w:rsidRPr="00154458">
        <w:rPr>
          <w:sz w:val="24"/>
          <w:szCs w:val="24"/>
        </w:rPr>
        <w:t>These designations will promote the development of fair and transparent financial markets by reducing the abi</w:t>
      </w:r>
      <w:r w:rsidR="00ED65CD" w:rsidRPr="00154458">
        <w:rPr>
          <w:sz w:val="24"/>
          <w:szCs w:val="24"/>
        </w:rPr>
        <w:t>lity of issuers to avoid the managed investment scheme</w:t>
      </w:r>
      <w:r w:rsidR="00EE51F5" w:rsidRPr="00154458">
        <w:rPr>
          <w:sz w:val="24"/>
          <w:szCs w:val="24"/>
        </w:rPr>
        <w:t xml:space="preserve"> requirements in the </w:t>
      </w:r>
      <w:r w:rsidRPr="00154458">
        <w:rPr>
          <w:sz w:val="24"/>
          <w:szCs w:val="24"/>
        </w:rPr>
        <w:t>Act by issuing shares that are in econ</w:t>
      </w:r>
      <w:r w:rsidR="00ED65CD" w:rsidRPr="00154458">
        <w:rPr>
          <w:sz w:val="24"/>
          <w:szCs w:val="24"/>
        </w:rPr>
        <w:t>omic substance more akin to managed investment products</w:t>
      </w:r>
      <w:r w:rsidR="00C509B6">
        <w:rPr>
          <w:sz w:val="24"/>
          <w:szCs w:val="24"/>
        </w:rPr>
        <w:t xml:space="preserve"> than equity securities.</w:t>
      </w:r>
    </w:p>
    <w:p w:rsidR="003E0802" w:rsidRPr="00154458" w:rsidRDefault="003E0802" w:rsidP="003E0802">
      <w:pPr>
        <w:pStyle w:val="TableBullet"/>
        <w:ind w:left="567"/>
        <w:rPr>
          <w:sz w:val="24"/>
          <w:szCs w:val="24"/>
        </w:rPr>
      </w:pPr>
      <w:r w:rsidRPr="00154458">
        <w:rPr>
          <w:sz w:val="24"/>
          <w:szCs w:val="24"/>
        </w:rPr>
        <w:t>A designation preventing shares, which would be designated und</w:t>
      </w:r>
      <w:r w:rsidR="00ED65CD" w:rsidRPr="00154458">
        <w:rPr>
          <w:sz w:val="24"/>
          <w:szCs w:val="24"/>
        </w:rPr>
        <w:t>er the class designation as managed investment products</w:t>
      </w:r>
      <w:r w:rsidRPr="00154458">
        <w:rPr>
          <w:sz w:val="24"/>
          <w:szCs w:val="24"/>
        </w:rPr>
        <w:t>, fro</w:t>
      </w:r>
      <w:r w:rsidR="00EE51F5" w:rsidRPr="00154458">
        <w:rPr>
          <w:sz w:val="24"/>
          <w:szCs w:val="24"/>
        </w:rPr>
        <w:t>m being offered through a crowd</w:t>
      </w:r>
      <w:r w:rsidRPr="00154458">
        <w:rPr>
          <w:sz w:val="24"/>
          <w:szCs w:val="24"/>
        </w:rPr>
        <w:t>funding platform as an unregulated offer will prevent issuers from circumventing the effect of the class designation</w:t>
      </w:r>
      <w:r w:rsidR="00ED65CD" w:rsidRPr="00154458">
        <w:rPr>
          <w:sz w:val="24"/>
          <w:szCs w:val="24"/>
        </w:rPr>
        <w:t>s of shares as managed investment products</w:t>
      </w:r>
      <w:r w:rsidRPr="00154458">
        <w:rPr>
          <w:sz w:val="24"/>
          <w:szCs w:val="24"/>
        </w:rPr>
        <w:t xml:space="preserve"> </w:t>
      </w:r>
      <w:r w:rsidR="00EE51F5" w:rsidRPr="00154458">
        <w:rPr>
          <w:sz w:val="24"/>
          <w:szCs w:val="24"/>
        </w:rPr>
        <w:t xml:space="preserve">in a </w:t>
      </w:r>
      <w:r w:rsidR="00ED65CD" w:rsidRPr="00154458">
        <w:rPr>
          <w:sz w:val="24"/>
          <w:szCs w:val="24"/>
        </w:rPr>
        <w:t>managed investment scheme</w:t>
      </w:r>
      <w:r w:rsidRPr="00154458">
        <w:rPr>
          <w:sz w:val="24"/>
          <w:szCs w:val="24"/>
        </w:rPr>
        <w:t>.</w:t>
      </w:r>
    </w:p>
    <w:p w:rsidR="003E0802" w:rsidRPr="00154458" w:rsidRDefault="003E0802" w:rsidP="009E4760">
      <w:pPr>
        <w:pStyle w:val="ListParagraph"/>
        <w:numPr>
          <w:ilvl w:val="0"/>
          <w:numId w:val="3"/>
        </w:numPr>
        <w:spacing w:before="240"/>
        <w:ind w:left="567"/>
        <w:rPr>
          <w:sz w:val="24"/>
        </w:rPr>
      </w:pPr>
      <w:r w:rsidRPr="00154458">
        <w:rPr>
          <w:sz w:val="24"/>
        </w:rPr>
        <w:t>The certainty provided by these class designations will better enable issuers to consider the potential impacts of these designations on their offer and themselves early in their offer design process and this promotes the informed participation of issuers in New Zealand’s financial markets.</w:t>
      </w:r>
    </w:p>
    <w:p w:rsidR="00223CDC" w:rsidRPr="00154458" w:rsidRDefault="00223CDC" w:rsidP="00223CDC">
      <w:pPr>
        <w:spacing w:before="240"/>
        <w:rPr>
          <w:sz w:val="24"/>
        </w:rPr>
      </w:pPr>
      <w:r w:rsidRPr="00154458">
        <w:rPr>
          <w:sz w:val="24"/>
        </w:rPr>
        <w:t>The FMA is therefore satisfied that making the declaration is necessary or desirable in order to promote one or more of the main or additional purposes of the Act</w:t>
      </w:r>
      <w:r w:rsidR="001B6B70" w:rsidRPr="00154458">
        <w:rPr>
          <w:sz w:val="24"/>
        </w:rPr>
        <w:t>, particularly being</w:t>
      </w:r>
      <w:r w:rsidRPr="00154458">
        <w:rPr>
          <w:sz w:val="24"/>
        </w:rPr>
        <w:t>—</w:t>
      </w:r>
    </w:p>
    <w:p w:rsidR="00223CDC" w:rsidRPr="00154458" w:rsidRDefault="00223CDC" w:rsidP="009E4760">
      <w:pPr>
        <w:pStyle w:val="TableBullet"/>
        <w:ind w:left="567" w:hanging="425"/>
        <w:rPr>
          <w:sz w:val="24"/>
          <w:szCs w:val="24"/>
        </w:rPr>
      </w:pPr>
      <w:r w:rsidRPr="00154458">
        <w:rPr>
          <w:sz w:val="24"/>
          <w:szCs w:val="24"/>
        </w:rPr>
        <w:lastRenderedPageBreak/>
        <w:t>to promote and facilitate the development of fair and</w:t>
      </w:r>
      <w:r w:rsidR="00C509B6">
        <w:rPr>
          <w:sz w:val="24"/>
          <w:szCs w:val="24"/>
        </w:rPr>
        <w:t xml:space="preserve"> transparent financial markets;</w:t>
      </w:r>
    </w:p>
    <w:p w:rsidR="00223CDC" w:rsidRPr="00154458" w:rsidRDefault="00223CDC" w:rsidP="009E4760">
      <w:pPr>
        <w:pStyle w:val="TableBullet"/>
        <w:ind w:left="567" w:hanging="425"/>
        <w:rPr>
          <w:sz w:val="24"/>
          <w:szCs w:val="24"/>
        </w:rPr>
      </w:pPr>
      <w:r w:rsidRPr="00154458">
        <w:rPr>
          <w:sz w:val="24"/>
          <w:szCs w:val="24"/>
        </w:rPr>
        <w:t>to provide for timely, accurate, and understandable information to be provided to persons to assist those persons to make decisions relating to financial products;</w:t>
      </w:r>
      <w:r w:rsidR="00F05856" w:rsidRPr="00154458">
        <w:rPr>
          <w:sz w:val="24"/>
          <w:szCs w:val="24"/>
        </w:rPr>
        <w:t xml:space="preserve"> and</w:t>
      </w:r>
    </w:p>
    <w:p w:rsidR="00062ED2" w:rsidRPr="00154458" w:rsidRDefault="00223CDC" w:rsidP="009E4760">
      <w:pPr>
        <w:pStyle w:val="TableBullet"/>
        <w:ind w:left="567" w:hanging="425"/>
        <w:rPr>
          <w:sz w:val="24"/>
          <w:szCs w:val="24"/>
        </w:rPr>
      </w:pPr>
      <w:r w:rsidRPr="00154458">
        <w:rPr>
          <w:sz w:val="24"/>
          <w:szCs w:val="24"/>
        </w:rPr>
        <w:t>to ensure that appropriate governance arrangements apply to financial products that allow for effective monitoring and reduce governance risks.</w:t>
      </w:r>
    </w:p>
    <w:sectPr w:rsidR="00062ED2" w:rsidRPr="00154458" w:rsidSect="00C9676E">
      <w:headerReference w:type="even" r:id="rId8"/>
      <w:headerReference w:type="default" r:id="rId9"/>
      <w:footerReference w:type="even" r:id="rId10"/>
      <w:footerReference w:type="default" r:id="rId11"/>
      <w:headerReference w:type="first" r:id="rId12"/>
      <w:footerReference w:type="first" r:id="rId13"/>
      <w:pgSz w:w="11906" w:h="17338"/>
      <w:pgMar w:top="1440" w:right="1440" w:bottom="1440" w:left="1440" w:header="709" w:footer="709"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5708" w:rsidRDefault="00DB5708" w:rsidP="00D052F7">
      <w:pPr>
        <w:spacing w:after="0"/>
      </w:pPr>
      <w:r>
        <w:separator/>
      </w:r>
    </w:p>
  </w:endnote>
  <w:endnote w:type="continuationSeparator" w:id="0">
    <w:p w:rsidR="00DB5708" w:rsidRDefault="00DB5708" w:rsidP="00D052F7">
      <w:pPr>
        <w:spacing w:after="0"/>
      </w:pPr>
      <w:r>
        <w:continuationSeparator/>
      </w:r>
    </w:p>
  </w:endnote>
  <w:endnote w:type="continuationNotice" w:id="1">
    <w:p w:rsidR="00DB5708" w:rsidRDefault="00DB570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E84" w:rsidRDefault="003D4E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9907526"/>
      <w:docPartObj>
        <w:docPartGallery w:val="Page Numbers (Bottom of Page)"/>
        <w:docPartUnique/>
      </w:docPartObj>
    </w:sdtPr>
    <w:sdtEndPr>
      <w:rPr>
        <w:noProof/>
      </w:rPr>
    </w:sdtEndPr>
    <w:sdtContent>
      <w:p w:rsidR="006D334C" w:rsidRDefault="006D334C" w:rsidP="00B21A5F">
        <w:pPr>
          <w:pStyle w:val="Footer"/>
        </w:pPr>
        <w:r>
          <w:rPr>
            <w:rFonts w:ascii="Tahoma" w:hAnsi="Tahoma" w:cs="Tahoma"/>
            <w:sz w:val="17"/>
            <w:szCs w:val="17"/>
          </w:rPr>
          <w:t>3138382</w:t>
        </w:r>
        <w:r>
          <w:rPr>
            <w:rFonts w:ascii="Tahoma" w:hAnsi="Tahoma" w:cs="Tahoma"/>
            <w:sz w:val="17"/>
            <w:szCs w:val="17"/>
          </w:rPr>
          <w:tab/>
        </w:r>
        <w:r>
          <w:rPr>
            <w:rFonts w:ascii="Tahoma" w:hAnsi="Tahoma" w:cs="Tahoma"/>
            <w:sz w:val="17"/>
            <w:szCs w:val="17"/>
          </w:rPr>
          <w:tab/>
        </w:r>
        <w:r>
          <w:fldChar w:fldCharType="begin"/>
        </w:r>
        <w:r>
          <w:instrText xml:space="preserve"> PAGE   \* MERGEFORMAT </w:instrText>
        </w:r>
        <w:r>
          <w:fldChar w:fldCharType="separate"/>
        </w:r>
        <w:r w:rsidR="003D4E84">
          <w:rPr>
            <w:noProof/>
          </w:rPr>
          <w:t>7</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E84" w:rsidRDefault="003D4E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5708" w:rsidRDefault="00DB5708" w:rsidP="00D052F7">
      <w:pPr>
        <w:spacing w:after="0"/>
      </w:pPr>
      <w:r>
        <w:separator/>
      </w:r>
    </w:p>
  </w:footnote>
  <w:footnote w:type="continuationSeparator" w:id="0">
    <w:p w:rsidR="00DB5708" w:rsidRDefault="00DB5708" w:rsidP="00D052F7">
      <w:pPr>
        <w:spacing w:after="0"/>
      </w:pPr>
      <w:r>
        <w:continuationSeparator/>
      </w:r>
    </w:p>
  </w:footnote>
  <w:footnote w:type="continuationNotice" w:id="1">
    <w:p w:rsidR="00DB5708" w:rsidRDefault="00DB5708">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E84" w:rsidRDefault="003D4E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E09" w:rsidRPr="00255E09" w:rsidRDefault="00255E09" w:rsidP="00255E09">
    <w:pPr>
      <w:spacing w:before="0" w:after="0"/>
      <w:jc w:val="right"/>
      <w:rPr>
        <w:b/>
        <w:sz w:val="20"/>
      </w:rPr>
    </w:pPr>
    <w:r>
      <w:rPr>
        <w:b/>
        <w:sz w:val="20"/>
      </w:rPr>
      <w:t>FMA CONSULTATION DRAFT 27.01.17</w:t>
    </w:r>
  </w:p>
  <w:p w:rsidR="00255E09" w:rsidRDefault="00255E09" w:rsidP="005C3D81">
    <w:pPr>
      <w:spacing w:before="0" w:after="0"/>
      <w:jc w:val="center"/>
      <w:rPr>
        <w:sz w:val="20"/>
      </w:rPr>
    </w:pPr>
  </w:p>
  <w:p w:rsidR="006D334C" w:rsidRDefault="006D334C" w:rsidP="005C3D81">
    <w:pPr>
      <w:spacing w:before="0" w:after="0"/>
      <w:jc w:val="center"/>
      <w:rPr>
        <w:sz w:val="20"/>
      </w:rPr>
    </w:pPr>
    <w:r w:rsidRPr="005C3D81">
      <w:rPr>
        <w:sz w:val="20"/>
      </w:rPr>
      <w:t>Financial Markets Conduct (</w:t>
    </w:r>
    <w:r>
      <w:rPr>
        <w:sz w:val="20"/>
      </w:rPr>
      <w:t>Shares in Investment Companies</w:t>
    </w:r>
    <w:r w:rsidRPr="005C3D81">
      <w:rPr>
        <w:sz w:val="20"/>
      </w:rPr>
      <w:t>) Designation Notice 201</w:t>
    </w:r>
    <w:r>
      <w:rPr>
        <w:sz w:val="20"/>
      </w:rPr>
      <w:t>7</w:t>
    </w:r>
  </w:p>
  <w:p w:rsidR="006D334C" w:rsidRPr="00365ADE" w:rsidRDefault="006D334C" w:rsidP="005C3D81">
    <w:pPr>
      <w:spacing w:before="0" w:after="0"/>
      <w:rPr>
        <w:sz w:val="20"/>
        <w:szCs w:val="20"/>
      </w:rPr>
    </w:pPr>
    <w:r w:rsidRPr="00365ADE">
      <w:rPr>
        <w:sz w:val="20"/>
        <w:szCs w:val="20"/>
        <w:lang w:val="en-US"/>
      </w:rPr>
      <w:t>_________________________________________________________________________________________</w:t>
    </w:r>
  </w:p>
  <w:p w:rsidR="006D334C" w:rsidRPr="00365ADE" w:rsidRDefault="006D334C" w:rsidP="005C3D81">
    <w:pPr>
      <w:spacing w:before="0" w:after="0"/>
      <w:rPr>
        <w:sz w:val="20"/>
        <w:szCs w:val="20"/>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E84" w:rsidRDefault="003D4E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D7528"/>
    <w:multiLevelType w:val="hybridMultilevel"/>
    <w:tmpl w:val="A5F2D558"/>
    <w:lvl w:ilvl="0" w:tplc="35406896">
      <w:start w:val="1"/>
      <w:numFmt w:val="decimal"/>
      <w:lvlText w:val="(%1)"/>
      <w:lvlJc w:val="left"/>
      <w:pPr>
        <w:ind w:left="862" w:hanging="360"/>
      </w:pPr>
      <w:rPr>
        <w:rFonts w:ascii="Calibri" w:hAnsi="Calibri" w:hint="default"/>
        <w:b w:val="0"/>
        <w:i w:val="0"/>
        <w:sz w:val="22"/>
      </w:rPr>
    </w:lvl>
    <w:lvl w:ilvl="1" w:tplc="14090019">
      <w:start w:val="1"/>
      <w:numFmt w:val="lowerLetter"/>
      <w:lvlText w:val="%2."/>
      <w:lvlJc w:val="left"/>
      <w:pPr>
        <w:ind w:left="1582" w:hanging="360"/>
      </w:pPr>
    </w:lvl>
    <w:lvl w:ilvl="2" w:tplc="1409001B" w:tentative="1">
      <w:start w:val="1"/>
      <w:numFmt w:val="lowerRoman"/>
      <w:lvlText w:val="%3."/>
      <w:lvlJc w:val="right"/>
      <w:pPr>
        <w:ind w:left="2302" w:hanging="180"/>
      </w:pPr>
    </w:lvl>
    <w:lvl w:ilvl="3" w:tplc="1409000F" w:tentative="1">
      <w:start w:val="1"/>
      <w:numFmt w:val="decimal"/>
      <w:lvlText w:val="%4."/>
      <w:lvlJc w:val="left"/>
      <w:pPr>
        <w:ind w:left="3022" w:hanging="360"/>
      </w:pPr>
    </w:lvl>
    <w:lvl w:ilvl="4" w:tplc="14090019" w:tentative="1">
      <w:start w:val="1"/>
      <w:numFmt w:val="lowerLetter"/>
      <w:lvlText w:val="%5."/>
      <w:lvlJc w:val="left"/>
      <w:pPr>
        <w:ind w:left="3742" w:hanging="360"/>
      </w:pPr>
    </w:lvl>
    <w:lvl w:ilvl="5" w:tplc="1409001B" w:tentative="1">
      <w:start w:val="1"/>
      <w:numFmt w:val="lowerRoman"/>
      <w:lvlText w:val="%6."/>
      <w:lvlJc w:val="right"/>
      <w:pPr>
        <w:ind w:left="4462" w:hanging="180"/>
      </w:pPr>
    </w:lvl>
    <w:lvl w:ilvl="6" w:tplc="1409000F" w:tentative="1">
      <w:start w:val="1"/>
      <w:numFmt w:val="decimal"/>
      <w:lvlText w:val="%7."/>
      <w:lvlJc w:val="left"/>
      <w:pPr>
        <w:ind w:left="5182" w:hanging="360"/>
      </w:pPr>
    </w:lvl>
    <w:lvl w:ilvl="7" w:tplc="14090019" w:tentative="1">
      <w:start w:val="1"/>
      <w:numFmt w:val="lowerLetter"/>
      <w:lvlText w:val="%8."/>
      <w:lvlJc w:val="left"/>
      <w:pPr>
        <w:ind w:left="5902" w:hanging="360"/>
      </w:pPr>
    </w:lvl>
    <w:lvl w:ilvl="8" w:tplc="1409001B" w:tentative="1">
      <w:start w:val="1"/>
      <w:numFmt w:val="lowerRoman"/>
      <w:lvlText w:val="%9."/>
      <w:lvlJc w:val="right"/>
      <w:pPr>
        <w:ind w:left="6622" w:hanging="180"/>
      </w:pPr>
    </w:lvl>
  </w:abstractNum>
  <w:abstractNum w:abstractNumId="1" w15:restartNumberingAfterBreak="0">
    <w:nsid w:val="0A493617"/>
    <w:multiLevelType w:val="hybridMultilevel"/>
    <w:tmpl w:val="49106236"/>
    <w:lvl w:ilvl="0" w:tplc="E3C48386">
      <w:start w:val="1"/>
      <w:numFmt w:val="lowerRoman"/>
      <w:lvlText w:val="(%1)"/>
      <w:lvlJc w:val="left"/>
      <w:pPr>
        <w:ind w:left="1647" w:hanging="720"/>
      </w:pPr>
      <w:rPr>
        <w:rFonts w:hint="default"/>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 w15:restartNumberingAfterBreak="0">
    <w:nsid w:val="0D8D0D9B"/>
    <w:multiLevelType w:val="hybridMultilevel"/>
    <w:tmpl w:val="7D4C5936"/>
    <w:lvl w:ilvl="0" w:tplc="3B826DD2">
      <w:start w:val="1"/>
      <w:numFmt w:val="lowerLetter"/>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3" w15:restartNumberingAfterBreak="0">
    <w:nsid w:val="11674088"/>
    <w:multiLevelType w:val="hybridMultilevel"/>
    <w:tmpl w:val="BB3C82EC"/>
    <w:lvl w:ilvl="0" w:tplc="B3C8B69A">
      <w:start w:val="1"/>
      <w:numFmt w:val="lowerLetter"/>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4" w15:restartNumberingAfterBreak="0">
    <w:nsid w:val="11A87C92"/>
    <w:multiLevelType w:val="hybridMultilevel"/>
    <w:tmpl w:val="D79E6728"/>
    <w:lvl w:ilvl="0" w:tplc="C1EC2674">
      <w:start w:val="1"/>
      <w:numFmt w:val="lowerRoman"/>
      <w:lvlText w:val="(%1)"/>
      <w:lvlJc w:val="left"/>
      <w:pPr>
        <w:ind w:left="1287" w:hanging="360"/>
      </w:pPr>
      <w:rPr>
        <w:rFonts w:asciiTheme="minorHAnsi" w:eastAsiaTheme="minorEastAsia" w:hAnsiTheme="minorHAnsi" w:cs="Calibri"/>
      </w:rPr>
    </w:lvl>
    <w:lvl w:ilvl="1" w:tplc="14090019">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5" w15:restartNumberingAfterBreak="0">
    <w:nsid w:val="1556415C"/>
    <w:multiLevelType w:val="hybridMultilevel"/>
    <w:tmpl w:val="7FC65062"/>
    <w:lvl w:ilvl="0" w:tplc="1876BFC6">
      <w:start w:val="1"/>
      <w:numFmt w:val="decimal"/>
      <w:lvlText w:val="(%1)"/>
      <w:lvlJc w:val="left"/>
      <w:pPr>
        <w:ind w:left="360" w:hanging="360"/>
      </w:pPr>
      <w:rPr>
        <w:rFonts w:hint="default"/>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15:restartNumberingAfterBreak="0">
    <w:nsid w:val="17F9646C"/>
    <w:multiLevelType w:val="hybridMultilevel"/>
    <w:tmpl w:val="7FC65062"/>
    <w:lvl w:ilvl="0" w:tplc="1876BFC6">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15:restartNumberingAfterBreak="0">
    <w:nsid w:val="190B7490"/>
    <w:multiLevelType w:val="hybridMultilevel"/>
    <w:tmpl w:val="9F46C466"/>
    <w:lvl w:ilvl="0" w:tplc="44D4ED8C">
      <w:start w:val="4"/>
      <w:numFmt w:val="bullet"/>
      <w:lvlText w:val="-"/>
      <w:lvlJc w:val="left"/>
      <w:pPr>
        <w:ind w:left="927" w:hanging="360"/>
      </w:pPr>
      <w:rPr>
        <w:rFonts w:ascii="Calibri" w:eastAsiaTheme="minorEastAsia" w:hAnsi="Calibri" w:cs="Calibri"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8" w15:restartNumberingAfterBreak="0">
    <w:nsid w:val="247D04BB"/>
    <w:multiLevelType w:val="hybridMultilevel"/>
    <w:tmpl w:val="7FC65062"/>
    <w:lvl w:ilvl="0" w:tplc="1876BFC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291E213E"/>
    <w:multiLevelType w:val="hybridMultilevel"/>
    <w:tmpl w:val="BB3C82EC"/>
    <w:lvl w:ilvl="0" w:tplc="B3C8B69A">
      <w:start w:val="1"/>
      <w:numFmt w:val="lowerLetter"/>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10" w15:restartNumberingAfterBreak="0">
    <w:nsid w:val="2A175C7C"/>
    <w:multiLevelType w:val="hybridMultilevel"/>
    <w:tmpl w:val="2BC6B1D8"/>
    <w:lvl w:ilvl="0" w:tplc="726AD98A">
      <w:start w:val="1"/>
      <w:numFmt w:val="lowerLetter"/>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11" w15:restartNumberingAfterBreak="0">
    <w:nsid w:val="2DF12457"/>
    <w:multiLevelType w:val="hybridMultilevel"/>
    <w:tmpl w:val="5CB27B78"/>
    <w:lvl w:ilvl="0" w:tplc="A11C1E00">
      <w:start w:val="1"/>
      <w:numFmt w:val="lowerLetter"/>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12" w15:restartNumberingAfterBreak="0">
    <w:nsid w:val="2FC96E48"/>
    <w:multiLevelType w:val="hybridMultilevel"/>
    <w:tmpl w:val="FFA4F794"/>
    <w:lvl w:ilvl="0" w:tplc="1C74F79C">
      <w:start w:val="1"/>
      <w:numFmt w:val="lowerLetter"/>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13" w15:restartNumberingAfterBreak="0">
    <w:nsid w:val="36C14D9A"/>
    <w:multiLevelType w:val="hybridMultilevel"/>
    <w:tmpl w:val="20188552"/>
    <w:lvl w:ilvl="0" w:tplc="2124BA02">
      <w:start w:val="1"/>
      <w:numFmt w:val="lowerLetter"/>
      <w:lvlText w:val="(%1)"/>
      <w:lvlJc w:val="left"/>
      <w:pPr>
        <w:ind w:left="720" w:hanging="360"/>
      </w:pPr>
      <w:rPr>
        <w:rFonts w:ascii="Calibri" w:eastAsiaTheme="minorEastAsia" w:hAnsi="Calibri" w:cs="Calibri"/>
        <w:color w:val="000000" w:themeColor="text1"/>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3E75577F"/>
    <w:multiLevelType w:val="hybridMultilevel"/>
    <w:tmpl w:val="2F88C358"/>
    <w:lvl w:ilvl="0" w:tplc="BA6C3FAC">
      <w:start w:val="1"/>
      <w:numFmt w:val="lowerLetter"/>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15" w15:restartNumberingAfterBreak="0">
    <w:nsid w:val="44E661F1"/>
    <w:multiLevelType w:val="hybridMultilevel"/>
    <w:tmpl w:val="24C29558"/>
    <w:lvl w:ilvl="0" w:tplc="8B525B90">
      <w:start w:val="1"/>
      <w:numFmt w:val="lowerLetter"/>
      <w:lvlText w:val="(%1)"/>
      <w:lvlJc w:val="left"/>
      <w:pPr>
        <w:ind w:left="1287" w:hanging="360"/>
      </w:pPr>
      <w:rPr>
        <w:rFonts w:asciiTheme="minorHAnsi" w:eastAsiaTheme="minorEastAsia" w:hAnsiTheme="minorHAnsi" w:cs="Calibri"/>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16" w15:restartNumberingAfterBreak="0">
    <w:nsid w:val="477339E5"/>
    <w:multiLevelType w:val="hybridMultilevel"/>
    <w:tmpl w:val="4F4CAEE0"/>
    <w:lvl w:ilvl="0" w:tplc="48706D64">
      <w:start w:val="1"/>
      <w:numFmt w:val="lowerLetter"/>
      <w:lvlText w:val="(%1)"/>
      <w:lvlJc w:val="left"/>
      <w:pPr>
        <w:ind w:left="927" w:hanging="360"/>
      </w:pPr>
      <w:rPr>
        <w:rFonts w:hint="default"/>
        <w:b w:val="0"/>
      </w:rPr>
    </w:lvl>
    <w:lvl w:ilvl="1" w:tplc="14090019">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17" w15:restartNumberingAfterBreak="0">
    <w:nsid w:val="48D30BF6"/>
    <w:multiLevelType w:val="hybridMultilevel"/>
    <w:tmpl w:val="C202624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4BD27DF6"/>
    <w:multiLevelType w:val="hybridMultilevel"/>
    <w:tmpl w:val="A77CE0D2"/>
    <w:lvl w:ilvl="0" w:tplc="DB2E0D46">
      <w:start w:val="1"/>
      <w:numFmt w:val="bullet"/>
      <w:lvlText w:val="-"/>
      <w:lvlJc w:val="left"/>
      <w:pPr>
        <w:ind w:left="720" w:hanging="36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C884687"/>
    <w:multiLevelType w:val="hybridMultilevel"/>
    <w:tmpl w:val="52F0228C"/>
    <w:lvl w:ilvl="0" w:tplc="DB4C8400">
      <w:start w:val="1"/>
      <w:numFmt w:val="lowerRoman"/>
      <w:lvlText w:val="(%1)"/>
      <w:lvlJc w:val="left"/>
      <w:pPr>
        <w:ind w:left="1647" w:hanging="720"/>
      </w:pPr>
      <w:rPr>
        <w:rFonts w:hint="default"/>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0" w15:restartNumberingAfterBreak="0">
    <w:nsid w:val="5BF057DF"/>
    <w:multiLevelType w:val="hybridMultilevel"/>
    <w:tmpl w:val="B198AC52"/>
    <w:lvl w:ilvl="0" w:tplc="EED2A274">
      <w:start w:val="1"/>
      <w:numFmt w:val="lowerRoman"/>
      <w:lvlText w:val="(%1)"/>
      <w:lvlJc w:val="left"/>
      <w:pPr>
        <w:ind w:left="1647" w:hanging="720"/>
      </w:pPr>
      <w:rPr>
        <w:rFonts w:hint="default"/>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1" w15:restartNumberingAfterBreak="0">
    <w:nsid w:val="5ED7201D"/>
    <w:multiLevelType w:val="hybridMultilevel"/>
    <w:tmpl w:val="A7782710"/>
    <w:lvl w:ilvl="0" w:tplc="1876BFC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5FC67987"/>
    <w:multiLevelType w:val="hybridMultilevel"/>
    <w:tmpl w:val="05F02010"/>
    <w:lvl w:ilvl="0" w:tplc="8496E7BC">
      <w:start w:val="1"/>
      <w:numFmt w:val="bullet"/>
      <w:pStyle w:val="HighlightBoxBullets"/>
      <w:lvlText w:val=""/>
      <w:lvlJc w:val="left"/>
      <w:pPr>
        <w:ind w:left="1094" w:hanging="374"/>
      </w:pPr>
      <w:rPr>
        <w:rFonts w:ascii="Symbol" w:hAnsi="Symbol" w:hint="default"/>
        <w:color w:val="000000" w:themeColor="text1"/>
      </w:rPr>
    </w:lvl>
    <w:lvl w:ilvl="1" w:tplc="82185412">
      <w:start w:val="1"/>
      <w:numFmt w:val="bullet"/>
      <w:lvlText w:val="o"/>
      <w:lvlJc w:val="left"/>
      <w:pPr>
        <w:ind w:left="2160" w:hanging="360"/>
      </w:pPr>
      <w:rPr>
        <w:rFonts w:ascii="Courier New" w:hAnsi="Courier New" w:hint="default"/>
        <w:color w:val="00B0F0"/>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10069D4"/>
    <w:multiLevelType w:val="hybridMultilevel"/>
    <w:tmpl w:val="F63AACA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15:restartNumberingAfterBreak="0">
    <w:nsid w:val="7574386B"/>
    <w:multiLevelType w:val="hybridMultilevel"/>
    <w:tmpl w:val="48AEA202"/>
    <w:lvl w:ilvl="0" w:tplc="8556CA24">
      <w:start w:val="1"/>
      <w:numFmt w:val="lowerLetter"/>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25" w15:restartNumberingAfterBreak="0">
    <w:nsid w:val="77471E06"/>
    <w:multiLevelType w:val="hybridMultilevel"/>
    <w:tmpl w:val="6E5E64C8"/>
    <w:lvl w:ilvl="0" w:tplc="81C61810">
      <w:start w:val="1"/>
      <w:numFmt w:val="lowerRoman"/>
      <w:lvlText w:val="(%1)"/>
      <w:lvlJc w:val="left"/>
      <w:pPr>
        <w:ind w:left="1647" w:hanging="720"/>
      </w:pPr>
      <w:rPr>
        <w:rFonts w:hint="default"/>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6" w15:restartNumberingAfterBreak="0">
    <w:nsid w:val="7A544059"/>
    <w:multiLevelType w:val="hybridMultilevel"/>
    <w:tmpl w:val="BF722B26"/>
    <w:lvl w:ilvl="0" w:tplc="C59C7EB6">
      <w:start w:val="1"/>
      <w:numFmt w:val="lowerLetter"/>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27" w15:restartNumberingAfterBreak="0">
    <w:nsid w:val="7C11650B"/>
    <w:multiLevelType w:val="hybridMultilevel"/>
    <w:tmpl w:val="A2004A06"/>
    <w:lvl w:ilvl="0" w:tplc="1409000F">
      <w:start w:val="1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7DB27BB7"/>
    <w:multiLevelType w:val="hybridMultilevel"/>
    <w:tmpl w:val="07D6E078"/>
    <w:lvl w:ilvl="0" w:tplc="079064CC">
      <w:start w:val="1"/>
      <w:numFmt w:val="decimal"/>
      <w:lvlText w:val="%1."/>
      <w:lvlJc w:val="left"/>
      <w:pPr>
        <w:ind w:left="720" w:hanging="360"/>
      </w:pPr>
      <w:rPr>
        <w:rFonts w:hint="default"/>
        <w:b/>
      </w:rPr>
    </w:lvl>
    <w:lvl w:ilvl="1" w:tplc="E988A078">
      <w:start w:val="1"/>
      <w:numFmt w:val="decimal"/>
      <w:lvlText w:val="(%2)"/>
      <w:lvlJc w:val="left"/>
      <w:pPr>
        <w:ind w:left="1440" w:hanging="360"/>
      </w:pPr>
      <w:rPr>
        <w:rFonts w:asciiTheme="minorHAnsi" w:eastAsiaTheme="minorEastAsia" w:hAnsiTheme="minorHAnsi" w:cs="Calibri"/>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7DB907A7"/>
    <w:multiLevelType w:val="hybridMultilevel"/>
    <w:tmpl w:val="93E09218"/>
    <w:lvl w:ilvl="0" w:tplc="4780490E">
      <w:start w:val="1"/>
      <w:numFmt w:val="lowerRoman"/>
      <w:pStyle w:val="Heading1"/>
      <w:lvlText w:val="(%1)"/>
      <w:lvlJc w:val="left"/>
      <w:pPr>
        <w:ind w:left="360" w:hanging="360"/>
      </w:pPr>
      <w:rPr>
        <w:rFonts w:asciiTheme="minorHAnsi" w:eastAsiaTheme="minorHAnsi" w:hAnsiTheme="minorHAnsi" w:cstheme="minorBidi"/>
      </w:rPr>
    </w:lvl>
    <w:lvl w:ilvl="1" w:tplc="8B525B90">
      <w:start w:val="1"/>
      <w:numFmt w:val="lowerLetter"/>
      <w:lvlText w:val="(%2)"/>
      <w:lvlJc w:val="left"/>
      <w:pPr>
        <w:ind w:left="1284" w:hanging="564"/>
      </w:pPr>
      <w:rPr>
        <w:rFonts w:asciiTheme="minorHAnsi" w:eastAsiaTheme="minorEastAsia" w:hAnsiTheme="minorHAnsi" w:cs="Calibri"/>
      </w:r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F50C6ED6">
      <w:start w:val="1"/>
      <w:numFmt w:val="upperLetter"/>
      <w:lvlText w:val="(%6)"/>
      <w:lvlJc w:val="left"/>
      <w:pPr>
        <w:ind w:left="4140" w:hanging="360"/>
      </w:pPr>
      <w:rPr>
        <w:rFonts w:hint="default"/>
      </w:rPr>
    </w:lvl>
    <w:lvl w:ilvl="6" w:tplc="704A48B2">
      <w:start w:val="2"/>
      <w:numFmt w:val="lowerRoman"/>
      <w:lvlText w:val="(%7)"/>
      <w:lvlJc w:val="left"/>
      <w:pPr>
        <w:ind w:left="5040" w:hanging="720"/>
      </w:pPr>
      <w:rPr>
        <w:rFonts w:hint="default"/>
      </w:r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0" w15:restartNumberingAfterBreak="0">
    <w:nsid w:val="7F9E1EBB"/>
    <w:multiLevelType w:val="hybridMultilevel"/>
    <w:tmpl w:val="91DE7946"/>
    <w:lvl w:ilvl="0" w:tplc="CB642E8E">
      <w:start w:val="1"/>
      <w:numFmt w:val="lowerLetter"/>
      <w:lvlText w:val="(%1)"/>
      <w:lvlJc w:val="left"/>
      <w:pPr>
        <w:ind w:left="2367" w:hanging="720"/>
      </w:pPr>
      <w:rPr>
        <w:rFonts w:hint="default"/>
      </w:rPr>
    </w:lvl>
    <w:lvl w:ilvl="1" w:tplc="14090019">
      <w:start w:val="1"/>
      <w:numFmt w:val="lowerLetter"/>
      <w:lvlText w:val="%2."/>
      <w:lvlJc w:val="left"/>
      <w:pPr>
        <w:ind w:left="2727" w:hanging="360"/>
      </w:pPr>
    </w:lvl>
    <w:lvl w:ilvl="2" w:tplc="1409001B" w:tentative="1">
      <w:start w:val="1"/>
      <w:numFmt w:val="lowerRoman"/>
      <w:lvlText w:val="%3."/>
      <w:lvlJc w:val="right"/>
      <w:pPr>
        <w:ind w:left="3447" w:hanging="180"/>
      </w:pPr>
    </w:lvl>
    <w:lvl w:ilvl="3" w:tplc="1409000F" w:tentative="1">
      <w:start w:val="1"/>
      <w:numFmt w:val="decimal"/>
      <w:lvlText w:val="%4."/>
      <w:lvlJc w:val="left"/>
      <w:pPr>
        <w:ind w:left="4167" w:hanging="360"/>
      </w:pPr>
    </w:lvl>
    <w:lvl w:ilvl="4" w:tplc="14090019" w:tentative="1">
      <w:start w:val="1"/>
      <w:numFmt w:val="lowerLetter"/>
      <w:lvlText w:val="%5."/>
      <w:lvlJc w:val="left"/>
      <w:pPr>
        <w:ind w:left="4887" w:hanging="360"/>
      </w:pPr>
    </w:lvl>
    <w:lvl w:ilvl="5" w:tplc="1409001B" w:tentative="1">
      <w:start w:val="1"/>
      <w:numFmt w:val="lowerRoman"/>
      <w:lvlText w:val="%6."/>
      <w:lvlJc w:val="right"/>
      <w:pPr>
        <w:ind w:left="5607" w:hanging="180"/>
      </w:pPr>
    </w:lvl>
    <w:lvl w:ilvl="6" w:tplc="1409000F" w:tentative="1">
      <w:start w:val="1"/>
      <w:numFmt w:val="decimal"/>
      <w:lvlText w:val="%7."/>
      <w:lvlJc w:val="left"/>
      <w:pPr>
        <w:ind w:left="6327" w:hanging="360"/>
      </w:pPr>
    </w:lvl>
    <w:lvl w:ilvl="7" w:tplc="14090019" w:tentative="1">
      <w:start w:val="1"/>
      <w:numFmt w:val="lowerLetter"/>
      <w:lvlText w:val="%8."/>
      <w:lvlJc w:val="left"/>
      <w:pPr>
        <w:ind w:left="7047" w:hanging="360"/>
      </w:pPr>
    </w:lvl>
    <w:lvl w:ilvl="8" w:tplc="1409001B" w:tentative="1">
      <w:start w:val="1"/>
      <w:numFmt w:val="lowerRoman"/>
      <w:lvlText w:val="%9."/>
      <w:lvlJc w:val="right"/>
      <w:pPr>
        <w:ind w:left="7767" w:hanging="180"/>
      </w:pPr>
    </w:lvl>
  </w:abstractNum>
  <w:num w:numId="1">
    <w:abstractNumId w:val="29"/>
  </w:num>
  <w:num w:numId="2">
    <w:abstractNumId w:val="0"/>
  </w:num>
  <w:num w:numId="3">
    <w:abstractNumId w:val="23"/>
  </w:num>
  <w:num w:numId="4">
    <w:abstractNumId w:val="22"/>
  </w:num>
  <w:num w:numId="5">
    <w:abstractNumId w:val="7"/>
  </w:num>
  <w:num w:numId="6">
    <w:abstractNumId w:val="16"/>
  </w:num>
  <w:num w:numId="7">
    <w:abstractNumId w:val="20"/>
  </w:num>
  <w:num w:numId="8">
    <w:abstractNumId w:val="29"/>
    <w:lvlOverride w:ilvl="0">
      <w:startOverride w:val="1"/>
    </w:lvlOverride>
    <w:lvlOverride w:ilvl="1">
      <w:startOverride w:val="9"/>
    </w:lvlOverride>
  </w:num>
  <w:num w:numId="9">
    <w:abstractNumId w:val="28"/>
  </w:num>
  <w:num w:numId="10">
    <w:abstractNumId w:val="21"/>
  </w:num>
  <w:num w:numId="11">
    <w:abstractNumId w:val="15"/>
  </w:num>
  <w:num w:numId="12">
    <w:abstractNumId w:val="9"/>
  </w:num>
  <w:num w:numId="13">
    <w:abstractNumId w:val="2"/>
  </w:num>
  <w:num w:numId="14">
    <w:abstractNumId w:val="4"/>
  </w:num>
  <w:num w:numId="15">
    <w:abstractNumId w:val="11"/>
  </w:num>
  <w:num w:numId="16">
    <w:abstractNumId w:val="30"/>
  </w:num>
  <w:num w:numId="17">
    <w:abstractNumId w:val="22"/>
  </w:num>
  <w:num w:numId="18">
    <w:abstractNumId w:val="29"/>
  </w:num>
  <w:num w:numId="19">
    <w:abstractNumId w:val="13"/>
  </w:num>
  <w:num w:numId="20">
    <w:abstractNumId w:val="18"/>
  </w:num>
  <w:num w:numId="21">
    <w:abstractNumId w:val="3"/>
  </w:num>
  <w:num w:numId="22">
    <w:abstractNumId w:val="24"/>
  </w:num>
  <w:num w:numId="23">
    <w:abstractNumId w:val="14"/>
  </w:num>
  <w:num w:numId="24">
    <w:abstractNumId w:val="19"/>
  </w:num>
  <w:num w:numId="25">
    <w:abstractNumId w:val="12"/>
  </w:num>
  <w:num w:numId="26">
    <w:abstractNumId w:val="1"/>
  </w:num>
  <w:num w:numId="27">
    <w:abstractNumId w:val="12"/>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6"/>
  </w:num>
  <w:num w:numId="31">
    <w:abstractNumId w:val="10"/>
  </w:num>
  <w:num w:numId="32">
    <w:abstractNumId w:val="5"/>
  </w:num>
  <w:num w:numId="33">
    <w:abstractNumId w:val="25"/>
  </w:num>
  <w:num w:numId="34">
    <w:abstractNumId w:val="8"/>
  </w:num>
  <w:num w:numId="35">
    <w:abstractNumId w:val="27"/>
  </w:num>
  <w:num w:numId="36">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removePersonalInformation/>
  <w:removeDateAndTime/>
  <w:doNotTrackFormatting/>
  <w:defaultTabStop w:val="567"/>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2F7"/>
    <w:rsid w:val="00002D18"/>
    <w:rsid w:val="00003CC6"/>
    <w:rsid w:val="00012D3B"/>
    <w:rsid w:val="0001405A"/>
    <w:rsid w:val="00015547"/>
    <w:rsid w:val="00015779"/>
    <w:rsid w:val="000206B8"/>
    <w:rsid w:val="000415BB"/>
    <w:rsid w:val="00044BC2"/>
    <w:rsid w:val="0004528F"/>
    <w:rsid w:val="00055300"/>
    <w:rsid w:val="0006202A"/>
    <w:rsid w:val="00062ED2"/>
    <w:rsid w:val="00074BB4"/>
    <w:rsid w:val="00075065"/>
    <w:rsid w:val="000763A5"/>
    <w:rsid w:val="000774F8"/>
    <w:rsid w:val="00091787"/>
    <w:rsid w:val="0009403F"/>
    <w:rsid w:val="00094ADF"/>
    <w:rsid w:val="000953E2"/>
    <w:rsid w:val="000967F3"/>
    <w:rsid w:val="000A0E6C"/>
    <w:rsid w:val="000A26E6"/>
    <w:rsid w:val="000A42A6"/>
    <w:rsid w:val="000A4C28"/>
    <w:rsid w:val="000A7D49"/>
    <w:rsid w:val="000B45D2"/>
    <w:rsid w:val="000C160E"/>
    <w:rsid w:val="000C5D01"/>
    <w:rsid w:val="000D0D53"/>
    <w:rsid w:val="000D199E"/>
    <w:rsid w:val="000D1CFD"/>
    <w:rsid w:val="000D2258"/>
    <w:rsid w:val="000D6BD7"/>
    <w:rsid w:val="000E033C"/>
    <w:rsid w:val="000E485E"/>
    <w:rsid w:val="000E5B00"/>
    <w:rsid w:val="000F717F"/>
    <w:rsid w:val="001007DC"/>
    <w:rsid w:val="00101F0A"/>
    <w:rsid w:val="0010465E"/>
    <w:rsid w:val="00111016"/>
    <w:rsid w:val="001120D4"/>
    <w:rsid w:val="00113B29"/>
    <w:rsid w:val="00114732"/>
    <w:rsid w:val="001152BE"/>
    <w:rsid w:val="00115389"/>
    <w:rsid w:val="00120756"/>
    <w:rsid w:val="001215AA"/>
    <w:rsid w:val="00127CF6"/>
    <w:rsid w:val="00130ABF"/>
    <w:rsid w:val="00137692"/>
    <w:rsid w:val="0013784C"/>
    <w:rsid w:val="00137DE6"/>
    <w:rsid w:val="00143105"/>
    <w:rsid w:val="001450D9"/>
    <w:rsid w:val="00151504"/>
    <w:rsid w:val="00154458"/>
    <w:rsid w:val="001562F6"/>
    <w:rsid w:val="001678E3"/>
    <w:rsid w:val="00176F8C"/>
    <w:rsid w:val="001816DE"/>
    <w:rsid w:val="00183542"/>
    <w:rsid w:val="001859C8"/>
    <w:rsid w:val="00190558"/>
    <w:rsid w:val="00192629"/>
    <w:rsid w:val="00195695"/>
    <w:rsid w:val="001A0E9F"/>
    <w:rsid w:val="001A5A11"/>
    <w:rsid w:val="001A72E7"/>
    <w:rsid w:val="001B110C"/>
    <w:rsid w:val="001B4289"/>
    <w:rsid w:val="001B54F9"/>
    <w:rsid w:val="001B6B70"/>
    <w:rsid w:val="001C41AF"/>
    <w:rsid w:val="001C73EF"/>
    <w:rsid w:val="001D3259"/>
    <w:rsid w:val="001E22C0"/>
    <w:rsid w:val="001E248F"/>
    <w:rsid w:val="001E4A8E"/>
    <w:rsid w:val="001E6921"/>
    <w:rsid w:val="001E7953"/>
    <w:rsid w:val="001F2124"/>
    <w:rsid w:val="001F560E"/>
    <w:rsid w:val="001F6A48"/>
    <w:rsid w:val="00206A7C"/>
    <w:rsid w:val="00206F0D"/>
    <w:rsid w:val="00207094"/>
    <w:rsid w:val="0021470F"/>
    <w:rsid w:val="00223CDC"/>
    <w:rsid w:val="002505AA"/>
    <w:rsid w:val="00253E0B"/>
    <w:rsid w:val="0025597E"/>
    <w:rsid w:val="00255E09"/>
    <w:rsid w:val="00263460"/>
    <w:rsid w:val="002645C7"/>
    <w:rsid w:val="002744EB"/>
    <w:rsid w:val="002860ED"/>
    <w:rsid w:val="002862D9"/>
    <w:rsid w:val="00297045"/>
    <w:rsid w:val="00297299"/>
    <w:rsid w:val="00297831"/>
    <w:rsid w:val="002B4861"/>
    <w:rsid w:val="002B521C"/>
    <w:rsid w:val="002C46A5"/>
    <w:rsid w:val="002D0840"/>
    <w:rsid w:val="002D1686"/>
    <w:rsid w:val="002D199F"/>
    <w:rsid w:val="002D34D9"/>
    <w:rsid w:val="002D72B8"/>
    <w:rsid w:val="002E2AF9"/>
    <w:rsid w:val="002F0C0E"/>
    <w:rsid w:val="0030320F"/>
    <w:rsid w:val="00303EEB"/>
    <w:rsid w:val="00306588"/>
    <w:rsid w:val="00306DEF"/>
    <w:rsid w:val="00307632"/>
    <w:rsid w:val="00320823"/>
    <w:rsid w:val="00321D7A"/>
    <w:rsid w:val="00326756"/>
    <w:rsid w:val="00330593"/>
    <w:rsid w:val="003355D6"/>
    <w:rsid w:val="00351079"/>
    <w:rsid w:val="00352823"/>
    <w:rsid w:val="0035286B"/>
    <w:rsid w:val="00352CBC"/>
    <w:rsid w:val="00361A03"/>
    <w:rsid w:val="00363804"/>
    <w:rsid w:val="0037117B"/>
    <w:rsid w:val="003738CC"/>
    <w:rsid w:val="0037660D"/>
    <w:rsid w:val="00382ED8"/>
    <w:rsid w:val="0039283C"/>
    <w:rsid w:val="003A0EDF"/>
    <w:rsid w:val="003B0D02"/>
    <w:rsid w:val="003B1A87"/>
    <w:rsid w:val="003B1AA5"/>
    <w:rsid w:val="003B56A8"/>
    <w:rsid w:val="003C0E70"/>
    <w:rsid w:val="003C36CF"/>
    <w:rsid w:val="003C4E21"/>
    <w:rsid w:val="003C4F07"/>
    <w:rsid w:val="003C5326"/>
    <w:rsid w:val="003D0F13"/>
    <w:rsid w:val="003D4E84"/>
    <w:rsid w:val="003D4F28"/>
    <w:rsid w:val="003E0802"/>
    <w:rsid w:val="003E18C3"/>
    <w:rsid w:val="003E6E2B"/>
    <w:rsid w:val="003E7253"/>
    <w:rsid w:val="003F0F21"/>
    <w:rsid w:val="004016DA"/>
    <w:rsid w:val="00412502"/>
    <w:rsid w:val="004163A7"/>
    <w:rsid w:val="00416D20"/>
    <w:rsid w:val="0042573D"/>
    <w:rsid w:val="00430543"/>
    <w:rsid w:val="0043577C"/>
    <w:rsid w:val="00435F66"/>
    <w:rsid w:val="00437BA0"/>
    <w:rsid w:val="00443256"/>
    <w:rsid w:val="004449E4"/>
    <w:rsid w:val="00445BD6"/>
    <w:rsid w:val="00454A27"/>
    <w:rsid w:val="00467CA3"/>
    <w:rsid w:val="00473447"/>
    <w:rsid w:val="00475AF7"/>
    <w:rsid w:val="00481346"/>
    <w:rsid w:val="00484CC0"/>
    <w:rsid w:val="00491BDA"/>
    <w:rsid w:val="0049384E"/>
    <w:rsid w:val="00494DD9"/>
    <w:rsid w:val="00494E5B"/>
    <w:rsid w:val="00495341"/>
    <w:rsid w:val="0049623B"/>
    <w:rsid w:val="004A2A4A"/>
    <w:rsid w:val="004A4F24"/>
    <w:rsid w:val="004A5C02"/>
    <w:rsid w:val="004B00F5"/>
    <w:rsid w:val="004B0D6D"/>
    <w:rsid w:val="004B5439"/>
    <w:rsid w:val="004B6C19"/>
    <w:rsid w:val="004D143C"/>
    <w:rsid w:val="004D7BDB"/>
    <w:rsid w:val="004E0E60"/>
    <w:rsid w:val="004E2DC3"/>
    <w:rsid w:val="004E79C0"/>
    <w:rsid w:val="004F251E"/>
    <w:rsid w:val="004F4D8A"/>
    <w:rsid w:val="005032C6"/>
    <w:rsid w:val="00507D78"/>
    <w:rsid w:val="00510274"/>
    <w:rsid w:val="00517E93"/>
    <w:rsid w:val="005317BF"/>
    <w:rsid w:val="00533F9B"/>
    <w:rsid w:val="00540720"/>
    <w:rsid w:val="00544E08"/>
    <w:rsid w:val="0055633D"/>
    <w:rsid w:val="005570AB"/>
    <w:rsid w:val="00562D22"/>
    <w:rsid w:val="00563155"/>
    <w:rsid w:val="00563474"/>
    <w:rsid w:val="0058662D"/>
    <w:rsid w:val="005969CB"/>
    <w:rsid w:val="005A0CD9"/>
    <w:rsid w:val="005A5EE3"/>
    <w:rsid w:val="005C3D81"/>
    <w:rsid w:val="005D5263"/>
    <w:rsid w:val="005D6220"/>
    <w:rsid w:val="005D6E99"/>
    <w:rsid w:val="005E3545"/>
    <w:rsid w:val="005E6BB5"/>
    <w:rsid w:val="005F096D"/>
    <w:rsid w:val="005F4508"/>
    <w:rsid w:val="006006F4"/>
    <w:rsid w:val="00605367"/>
    <w:rsid w:val="0062667D"/>
    <w:rsid w:val="00627254"/>
    <w:rsid w:val="00637899"/>
    <w:rsid w:val="0064623D"/>
    <w:rsid w:val="006573F6"/>
    <w:rsid w:val="00660DC0"/>
    <w:rsid w:val="00665B9F"/>
    <w:rsid w:val="0067487A"/>
    <w:rsid w:val="0068400F"/>
    <w:rsid w:val="00684277"/>
    <w:rsid w:val="00686EA6"/>
    <w:rsid w:val="006905B1"/>
    <w:rsid w:val="006A1FD8"/>
    <w:rsid w:val="006A4776"/>
    <w:rsid w:val="006A4FC2"/>
    <w:rsid w:val="006B0D0C"/>
    <w:rsid w:val="006B257F"/>
    <w:rsid w:val="006B2E78"/>
    <w:rsid w:val="006B3A37"/>
    <w:rsid w:val="006B3BA7"/>
    <w:rsid w:val="006B5C61"/>
    <w:rsid w:val="006C25CC"/>
    <w:rsid w:val="006C6D82"/>
    <w:rsid w:val="006D1499"/>
    <w:rsid w:val="006D334C"/>
    <w:rsid w:val="006D49AD"/>
    <w:rsid w:val="006D5EE8"/>
    <w:rsid w:val="006E4E90"/>
    <w:rsid w:val="006E51F8"/>
    <w:rsid w:val="006E526B"/>
    <w:rsid w:val="006F5DC1"/>
    <w:rsid w:val="006F6E08"/>
    <w:rsid w:val="00703730"/>
    <w:rsid w:val="00704739"/>
    <w:rsid w:val="0070552A"/>
    <w:rsid w:val="007067DC"/>
    <w:rsid w:val="00710DE8"/>
    <w:rsid w:val="00711A2C"/>
    <w:rsid w:val="007167FA"/>
    <w:rsid w:val="007267CE"/>
    <w:rsid w:val="007268EA"/>
    <w:rsid w:val="00727042"/>
    <w:rsid w:val="00727245"/>
    <w:rsid w:val="00735A12"/>
    <w:rsid w:val="00762708"/>
    <w:rsid w:val="00765856"/>
    <w:rsid w:val="00767FDF"/>
    <w:rsid w:val="00773D5F"/>
    <w:rsid w:val="00775F74"/>
    <w:rsid w:val="007760FD"/>
    <w:rsid w:val="007764C2"/>
    <w:rsid w:val="00783D37"/>
    <w:rsid w:val="00787456"/>
    <w:rsid w:val="007921D7"/>
    <w:rsid w:val="007A0512"/>
    <w:rsid w:val="007B06D3"/>
    <w:rsid w:val="007C152B"/>
    <w:rsid w:val="007D0D59"/>
    <w:rsid w:val="007E1996"/>
    <w:rsid w:val="007E3206"/>
    <w:rsid w:val="007F2297"/>
    <w:rsid w:val="007F2ED8"/>
    <w:rsid w:val="00800E70"/>
    <w:rsid w:val="00810020"/>
    <w:rsid w:val="00815961"/>
    <w:rsid w:val="00820296"/>
    <w:rsid w:val="008209E9"/>
    <w:rsid w:val="00822F39"/>
    <w:rsid w:val="00826178"/>
    <w:rsid w:val="008357A6"/>
    <w:rsid w:val="00837B5E"/>
    <w:rsid w:val="008503C1"/>
    <w:rsid w:val="008533AC"/>
    <w:rsid w:val="008534F6"/>
    <w:rsid w:val="008544BB"/>
    <w:rsid w:val="008616DA"/>
    <w:rsid w:val="00864268"/>
    <w:rsid w:val="00867390"/>
    <w:rsid w:val="00870F7A"/>
    <w:rsid w:val="0087527F"/>
    <w:rsid w:val="00877390"/>
    <w:rsid w:val="0089345C"/>
    <w:rsid w:val="00896D1E"/>
    <w:rsid w:val="00897043"/>
    <w:rsid w:val="008B44B9"/>
    <w:rsid w:val="008C3C54"/>
    <w:rsid w:val="008C63DF"/>
    <w:rsid w:val="008D6FC3"/>
    <w:rsid w:val="008E1E00"/>
    <w:rsid w:val="008E7BE4"/>
    <w:rsid w:val="0090360B"/>
    <w:rsid w:val="00906CF9"/>
    <w:rsid w:val="00913591"/>
    <w:rsid w:val="00914F37"/>
    <w:rsid w:val="009171F3"/>
    <w:rsid w:val="0094230B"/>
    <w:rsid w:val="0094236E"/>
    <w:rsid w:val="0094621A"/>
    <w:rsid w:val="00957F27"/>
    <w:rsid w:val="00961D47"/>
    <w:rsid w:val="009627AC"/>
    <w:rsid w:val="009639C7"/>
    <w:rsid w:val="00965502"/>
    <w:rsid w:val="00984CBC"/>
    <w:rsid w:val="0098571B"/>
    <w:rsid w:val="00985EF9"/>
    <w:rsid w:val="0099154B"/>
    <w:rsid w:val="00992060"/>
    <w:rsid w:val="00992185"/>
    <w:rsid w:val="009934FA"/>
    <w:rsid w:val="00994E1D"/>
    <w:rsid w:val="00994F75"/>
    <w:rsid w:val="009A0E29"/>
    <w:rsid w:val="009A3608"/>
    <w:rsid w:val="009B2A5C"/>
    <w:rsid w:val="009B540B"/>
    <w:rsid w:val="009B60A0"/>
    <w:rsid w:val="009C1718"/>
    <w:rsid w:val="009C3201"/>
    <w:rsid w:val="009D24D5"/>
    <w:rsid w:val="009E1C9E"/>
    <w:rsid w:val="009E1D7B"/>
    <w:rsid w:val="009E4760"/>
    <w:rsid w:val="009E59BF"/>
    <w:rsid w:val="009F4092"/>
    <w:rsid w:val="00A000DD"/>
    <w:rsid w:val="00A004B2"/>
    <w:rsid w:val="00A04D84"/>
    <w:rsid w:val="00A1019D"/>
    <w:rsid w:val="00A1035A"/>
    <w:rsid w:val="00A14F04"/>
    <w:rsid w:val="00A25CE1"/>
    <w:rsid w:val="00A30A80"/>
    <w:rsid w:val="00A33939"/>
    <w:rsid w:val="00A405FE"/>
    <w:rsid w:val="00A40D81"/>
    <w:rsid w:val="00A41082"/>
    <w:rsid w:val="00A41AD5"/>
    <w:rsid w:val="00A42788"/>
    <w:rsid w:val="00A56833"/>
    <w:rsid w:val="00A65E85"/>
    <w:rsid w:val="00A66DBD"/>
    <w:rsid w:val="00A7199F"/>
    <w:rsid w:val="00A725D1"/>
    <w:rsid w:val="00A753B3"/>
    <w:rsid w:val="00A8286A"/>
    <w:rsid w:val="00A90851"/>
    <w:rsid w:val="00A94EE6"/>
    <w:rsid w:val="00A9543C"/>
    <w:rsid w:val="00A963E3"/>
    <w:rsid w:val="00AA0460"/>
    <w:rsid w:val="00AA321C"/>
    <w:rsid w:val="00AA668A"/>
    <w:rsid w:val="00AB2EE0"/>
    <w:rsid w:val="00AB7B6A"/>
    <w:rsid w:val="00AD75F5"/>
    <w:rsid w:val="00AE5A66"/>
    <w:rsid w:val="00AE638B"/>
    <w:rsid w:val="00AE68A3"/>
    <w:rsid w:val="00AF0350"/>
    <w:rsid w:val="00B0385E"/>
    <w:rsid w:val="00B21A5F"/>
    <w:rsid w:val="00B42711"/>
    <w:rsid w:val="00B44852"/>
    <w:rsid w:val="00B540A4"/>
    <w:rsid w:val="00B606A6"/>
    <w:rsid w:val="00B846FD"/>
    <w:rsid w:val="00B904B8"/>
    <w:rsid w:val="00B914AC"/>
    <w:rsid w:val="00B91E0A"/>
    <w:rsid w:val="00BA1128"/>
    <w:rsid w:val="00BA3A27"/>
    <w:rsid w:val="00BA5919"/>
    <w:rsid w:val="00BB602F"/>
    <w:rsid w:val="00BB7084"/>
    <w:rsid w:val="00BC3015"/>
    <w:rsid w:val="00BC534C"/>
    <w:rsid w:val="00BD7144"/>
    <w:rsid w:val="00BE0315"/>
    <w:rsid w:val="00BF11D6"/>
    <w:rsid w:val="00BF7D02"/>
    <w:rsid w:val="00C12145"/>
    <w:rsid w:val="00C148B3"/>
    <w:rsid w:val="00C20899"/>
    <w:rsid w:val="00C41AFB"/>
    <w:rsid w:val="00C509B6"/>
    <w:rsid w:val="00C566F7"/>
    <w:rsid w:val="00C62F87"/>
    <w:rsid w:val="00C652C3"/>
    <w:rsid w:val="00C805EE"/>
    <w:rsid w:val="00C82C3A"/>
    <w:rsid w:val="00C9676E"/>
    <w:rsid w:val="00CA10CB"/>
    <w:rsid w:val="00CA3864"/>
    <w:rsid w:val="00CB41AD"/>
    <w:rsid w:val="00CB73F4"/>
    <w:rsid w:val="00CC141B"/>
    <w:rsid w:val="00CD45F9"/>
    <w:rsid w:val="00CD60E8"/>
    <w:rsid w:val="00CE3B1C"/>
    <w:rsid w:val="00CF1D20"/>
    <w:rsid w:val="00CF2896"/>
    <w:rsid w:val="00D052F7"/>
    <w:rsid w:val="00D125AE"/>
    <w:rsid w:val="00D200F6"/>
    <w:rsid w:val="00D23B98"/>
    <w:rsid w:val="00D24535"/>
    <w:rsid w:val="00D24FC0"/>
    <w:rsid w:val="00D31006"/>
    <w:rsid w:val="00D37C3B"/>
    <w:rsid w:val="00D40338"/>
    <w:rsid w:val="00D41588"/>
    <w:rsid w:val="00D427D0"/>
    <w:rsid w:val="00D42C7A"/>
    <w:rsid w:val="00D432A4"/>
    <w:rsid w:val="00D448CA"/>
    <w:rsid w:val="00D44C83"/>
    <w:rsid w:val="00D771FC"/>
    <w:rsid w:val="00D83008"/>
    <w:rsid w:val="00D84555"/>
    <w:rsid w:val="00D86168"/>
    <w:rsid w:val="00D9181C"/>
    <w:rsid w:val="00D92F61"/>
    <w:rsid w:val="00D96407"/>
    <w:rsid w:val="00DA08C2"/>
    <w:rsid w:val="00DA1264"/>
    <w:rsid w:val="00DB5708"/>
    <w:rsid w:val="00DC1065"/>
    <w:rsid w:val="00DC1C91"/>
    <w:rsid w:val="00DD05AB"/>
    <w:rsid w:val="00DD1C68"/>
    <w:rsid w:val="00DD3D52"/>
    <w:rsid w:val="00DD4C5B"/>
    <w:rsid w:val="00DE225D"/>
    <w:rsid w:val="00DF1309"/>
    <w:rsid w:val="00DF305A"/>
    <w:rsid w:val="00DF7029"/>
    <w:rsid w:val="00E03131"/>
    <w:rsid w:val="00E03681"/>
    <w:rsid w:val="00E13114"/>
    <w:rsid w:val="00E20E33"/>
    <w:rsid w:val="00E32CF2"/>
    <w:rsid w:val="00E33308"/>
    <w:rsid w:val="00E41030"/>
    <w:rsid w:val="00E520CA"/>
    <w:rsid w:val="00E5302D"/>
    <w:rsid w:val="00E531BD"/>
    <w:rsid w:val="00E7364C"/>
    <w:rsid w:val="00E97EED"/>
    <w:rsid w:val="00EB1CD0"/>
    <w:rsid w:val="00EB6512"/>
    <w:rsid w:val="00ED0D75"/>
    <w:rsid w:val="00ED4ECE"/>
    <w:rsid w:val="00ED65CD"/>
    <w:rsid w:val="00EE51F5"/>
    <w:rsid w:val="00EE6670"/>
    <w:rsid w:val="00EF272C"/>
    <w:rsid w:val="00EF684E"/>
    <w:rsid w:val="00F0042D"/>
    <w:rsid w:val="00F01E69"/>
    <w:rsid w:val="00F04BB0"/>
    <w:rsid w:val="00F0556D"/>
    <w:rsid w:val="00F05856"/>
    <w:rsid w:val="00F10B4A"/>
    <w:rsid w:val="00F16690"/>
    <w:rsid w:val="00F30FAF"/>
    <w:rsid w:val="00F31707"/>
    <w:rsid w:val="00F359EB"/>
    <w:rsid w:val="00F4064A"/>
    <w:rsid w:val="00F56A85"/>
    <w:rsid w:val="00F67308"/>
    <w:rsid w:val="00F728C0"/>
    <w:rsid w:val="00F7533B"/>
    <w:rsid w:val="00F7740E"/>
    <w:rsid w:val="00F867A7"/>
    <w:rsid w:val="00F8782B"/>
    <w:rsid w:val="00F91E08"/>
    <w:rsid w:val="00FA0DF8"/>
    <w:rsid w:val="00FA550F"/>
    <w:rsid w:val="00FB1796"/>
    <w:rsid w:val="00FB7F95"/>
    <w:rsid w:val="00FC2C33"/>
    <w:rsid w:val="00FD08FF"/>
    <w:rsid w:val="00FD1711"/>
    <w:rsid w:val="00FD4A94"/>
    <w:rsid w:val="00FD710A"/>
    <w:rsid w:val="00FE37F0"/>
    <w:rsid w:val="00FE5EF6"/>
    <w:rsid w:val="00FF000B"/>
    <w:rsid w:val="00FF74A0"/>
  </w:rsids>
  <m:mathPr>
    <m:mathFont m:val="Cambria Math"/>
    <m:brkBin m:val="before"/>
    <m:brkBinSub m:val="--"/>
    <m:smallFrac m:val="0"/>
    <m:dispDef/>
    <m:lMargin m:val="0"/>
    <m:rMargin m:val="0"/>
    <m:defJc m:val="centerGroup"/>
    <m:wrapIndent m:val="1440"/>
    <m:intLim m:val="subSup"/>
    <m:naryLim m:val="undOvr"/>
  </m:mathPr>
  <w:themeFontLang w:val="en-NZ"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Calibri"/>
        <w:color w:val="000000"/>
        <w:sz w:val="22"/>
        <w:szCs w:val="24"/>
        <w:lang w:val="en-NZ" w:eastAsia="ko-KR"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ListParagraph"/>
    <w:next w:val="Normal"/>
    <w:link w:val="Heading1Char"/>
    <w:qFormat/>
    <w:rsid w:val="005C3D81"/>
    <w:pPr>
      <w:keepNext/>
      <w:numPr>
        <w:numId w:val="1"/>
      </w:numPr>
      <w:spacing w:before="240"/>
      <w:contextualSpacing w:val="0"/>
      <w:outlineLvl w:val="0"/>
    </w:pPr>
    <w:rPr>
      <w:rFonts w:asciiTheme="minorHAnsi" w:eastAsiaTheme="minorHAnsi" w:hAnsiTheme="minorHAnsi" w:cstheme="minorBidi"/>
      <w:b/>
      <w:color w:val="auto"/>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052F7"/>
    <w:pPr>
      <w:autoSpaceDE w:val="0"/>
      <w:autoSpaceDN w:val="0"/>
      <w:adjustRightInd w:val="0"/>
      <w:spacing w:after="0"/>
    </w:pPr>
    <w:rPr>
      <w:sz w:val="24"/>
    </w:rPr>
  </w:style>
  <w:style w:type="paragraph" w:styleId="Header">
    <w:name w:val="header"/>
    <w:basedOn w:val="Normal"/>
    <w:link w:val="HeaderChar"/>
    <w:uiPriority w:val="99"/>
    <w:unhideWhenUsed/>
    <w:rsid w:val="00D052F7"/>
    <w:pPr>
      <w:tabs>
        <w:tab w:val="center" w:pos="4513"/>
        <w:tab w:val="right" w:pos="9026"/>
      </w:tabs>
      <w:spacing w:after="0"/>
    </w:pPr>
  </w:style>
  <w:style w:type="character" w:customStyle="1" w:styleId="HeaderChar">
    <w:name w:val="Header Char"/>
    <w:basedOn w:val="DefaultParagraphFont"/>
    <w:link w:val="Header"/>
    <w:uiPriority w:val="99"/>
    <w:rsid w:val="00D052F7"/>
  </w:style>
  <w:style w:type="paragraph" w:styleId="Footer">
    <w:name w:val="footer"/>
    <w:basedOn w:val="Normal"/>
    <w:link w:val="FooterChar"/>
    <w:uiPriority w:val="99"/>
    <w:unhideWhenUsed/>
    <w:rsid w:val="00D052F7"/>
    <w:pPr>
      <w:tabs>
        <w:tab w:val="center" w:pos="4513"/>
        <w:tab w:val="right" w:pos="9026"/>
      </w:tabs>
      <w:spacing w:after="0"/>
    </w:pPr>
  </w:style>
  <w:style w:type="character" w:customStyle="1" w:styleId="FooterChar">
    <w:name w:val="Footer Char"/>
    <w:basedOn w:val="DefaultParagraphFont"/>
    <w:link w:val="Footer"/>
    <w:uiPriority w:val="99"/>
    <w:rsid w:val="00D052F7"/>
  </w:style>
  <w:style w:type="paragraph" w:styleId="ListParagraph">
    <w:name w:val="List Paragraph"/>
    <w:basedOn w:val="Normal"/>
    <w:link w:val="ListParagraphChar"/>
    <w:qFormat/>
    <w:rsid w:val="0098571B"/>
    <w:pPr>
      <w:ind w:left="720"/>
      <w:contextualSpacing/>
    </w:pPr>
  </w:style>
  <w:style w:type="character" w:styleId="CommentReference">
    <w:name w:val="annotation reference"/>
    <w:basedOn w:val="DefaultParagraphFont"/>
    <w:uiPriority w:val="99"/>
    <w:semiHidden/>
    <w:unhideWhenUsed/>
    <w:rsid w:val="0098571B"/>
    <w:rPr>
      <w:sz w:val="16"/>
      <w:szCs w:val="16"/>
    </w:rPr>
  </w:style>
  <w:style w:type="paragraph" w:styleId="CommentText">
    <w:name w:val="annotation text"/>
    <w:basedOn w:val="Normal"/>
    <w:link w:val="CommentTextChar"/>
    <w:uiPriority w:val="99"/>
    <w:unhideWhenUsed/>
    <w:rsid w:val="0098571B"/>
    <w:pPr>
      <w:spacing w:after="0"/>
    </w:pPr>
    <w:rPr>
      <w:rFonts w:ascii="Times New Roman" w:eastAsia="Times New Roman" w:hAnsi="Times New Roman" w:cs="Times New Roman"/>
      <w:sz w:val="20"/>
      <w:szCs w:val="20"/>
      <w:lang w:val="en-US" w:eastAsia="en-NZ"/>
    </w:rPr>
  </w:style>
  <w:style w:type="character" w:customStyle="1" w:styleId="CommentTextChar">
    <w:name w:val="Comment Text Char"/>
    <w:basedOn w:val="DefaultParagraphFont"/>
    <w:link w:val="CommentText"/>
    <w:uiPriority w:val="99"/>
    <w:rsid w:val="0098571B"/>
    <w:rPr>
      <w:rFonts w:ascii="Times New Roman" w:eastAsia="Times New Roman" w:hAnsi="Times New Roman" w:cs="Times New Roman"/>
      <w:sz w:val="20"/>
      <w:szCs w:val="20"/>
      <w:lang w:val="en-US" w:eastAsia="en-NZ"/>
    </w:rPr>
  </w:style>
  <w:style w:type="paragraph" w:styleId="BalloonText">
    <w:name w:val="Balloon Text"/>
    <w:basedOn w:val="Normal"/>
    <w:link w:val="BalloonTextChar"/>
    <w:uiPriority w:val="99"/>
    <w:semiHidden/>
    <w:unhideWhenUsed/>
    <w:rsid w:val="009857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71B"/>
    <w:rPr>
      <w:rFonts w:ascii="Tahoma" w:hAnsi="Tahoma" w:cs="Tahoma"/>
      <w:sz w:val="16"/>
      <w:szCs w:val="16"/>
    </w:rPr>
  </w:style>
  <w:style w:type="character" w:customStyle="1" w:styleId="ListParagraphChar">
    <w:name w:val="List Paragraph Char"/>
    <w:link w:val="ListParagraph"/>
    <w:rsid w:val="00351079"/>
  </w:style>
  <w:style w:type="character" w:customStyle="1" w:styleId="Heading1Char">
    <w:name w:val="Heading 1 Char"/>
    <w:basedOn w:val="DefaultParagraphFont"/>
    <w:link w:val="Heading1"/>
    <w:rsid w:val="005C3D81"/>
    <w:rPr>
      <w:rFonts w:asciiTheme="minorHAnsi" w:eastAsiaTheme="minorHAnsi" w:hAnsiTheme="minorHAnsi" w:cstheme="minorBidi"/>
      <w:b/>
      <w:color w:val="auto"/>
      <w:sz w:val="24"/>
      <w:szCs w:val="22"/>
      <w:lang w:eastAsia="en-US"/>
    </w:rPr>
  </w:style>
  <w:style w:type="character" w:customStyle="1" w:styleId="CharStyle3">
    <w:name w:val="Char Style 3"/>
    <w:link w:val="Style2"/>
    <w:uiPriority w:val="99"/>
    <w:rsid w:val="005C3D81"/>
    <w:rPr>
      <w:sz w:val="21"/>
      <w:szCs w:val="21"/>
      <w:shd w:val="clear" w:color="auto" w:fill="FFFFFF"/>
    </w:rPr>
  </w:style>
  <w:style w:type="paragraph" w:customStyle="1" w:styleId="Style2">
    <w:name w:val="Style 2"/>
    <w:basedOn w:val="Normal"/>
    <w:link w:val="CharStyle3"/>
    <w:uiPriority w:val="99"/>
    <w:rsid w:val="005C3D81"/>
    <w:pPr>
      <w:shd w:val="clear" w:color="auto" w:fill="FFFFFF"/>
      <w:spacing w:before="0" w:line="274" w:lineRule="exact"/>
      <w:ind w:hanging="600"/>
      <w:jc w:val="right"/>
    </w:pPr>
    <w:rPr>
      <w:sz w:val="21"/>
      <w:szCs w:val="21"/>
    </w:rPr>
  </w:style>
  <w:style w:type="character" w:styleId="Hyperlink">
    <w:name w:val="Hyperlink"/>
    <w:basedOn w:val="DefaultParagraphFont"/>
    <w:uiPriority w:val="99"/>
    <w:unhideWhenUsed/>
    <w:rsid w:val="005C3D81"/>
    <w:rPr>
      <w:color w:val="0000FF" w:themeColor="hyperlink"/>
      <w:u w:val="single"/>
    </w:rPr>
  </w:style>
  <w:style w:type="paragraph" w:styleId="TOC1">
    <w:name w:val="toc 1"/>
    <w:basedOn w:val="Normal"/>
    <w:next w:val="Normal"/>
    <w:autoRedefine/>
    <w:uiPriority w:val="39"/>
    <w:unhideWhenUsed/>
    <w:rsid w:val="005C3D81"/>
    <w:pPr>
      <w:tabs>
        <w:tab w:val="left" w:pos="720"/>
        <w:tab w:val="right" w:pos="9072"/>
      </w:tabs>
      <w:spacing w:before="0" w:after="0"/>
      <w:ind w:left="720" w:hanging="720"/>
      <w:jc w:val="both"/>
    </w:pPr>
  </w:style>
  <w:style w:type="paragraph" w:customStyle="1" w:styleId="HighlightBoxBullets">
    <w:name w:val="Highlight Box Bullets"/>
    <w:qFormat/>
    <w:rsid w:val="003E0802"/>
    <w:pPr>
      <w:numPr>
        <w:numId w:val="4"/>
      </w:numPr>
      <w:ind w:right="170"/>
    </w:pPr>
    <w:rPr>
      <w:rFonts w:asciiTheme="minorHAnsi" w:eastAsia="Calibri" w:hAnsiTheme="minorHAnsi" w:cs="Times New Roman"/>
      <w:color w:val="404040" w:themeColor="text1" w:themeTint="BF"/>
      <w:szCs w:val="21"/>
      <w:lang w:val="en-US" w:eastAsia="en-US"/>
    </w:rPr>
  </w:style>
  <w:style w:type="paragraph" w:customStyle="1" w:styleId="TableBullet">
    <w:name w:val="Table Bullet"/>
    <w:basedOn w:val="HighlightBoxBullets"/>
    <w:link w:val="TableBulletChar"/>
    <w:qFormat/>
    <w:rsid w:val="003E0802"/>
    <w:pPr>
      <w:spacing w:after="160"/>
    </w:pPr>
    <w:rPr>
      <w:rFonts w:eastAsiaTheme="minorHAnsi" w:cstheme="minorBidi"/>
      <w:color w:val="000000" w:themeColor="text1"/>
      <w:szCs w:val="22"/>
    </w:rPr>
  </w:style>
  <w:style w:type="character" w:customStyle="1" w:styleId="TableBulletChar">
    <w:name w:val="Table Bullet Char"/>
    <w:basedOn w:val="DefaultParagraphFont"/>
    <w:link w:val="TableBullet"/>
    <w:rsid w:val="003E0802"/>
    <w:rPr>
      <w:rFonts w:asciiTheme="minorHAnsi" w:eastAsiaTheme="minorHAnsi" w:hAnsiTheme="minorHAnsi" w:cstheme="minorBidi"/>
      <w:color w:val="000000" w:themeColor="text1"/>
      <w:szCs w:val="22"/>
      <w:lang w:val="en-US" w:eastAsia="en-US"/>
    </w:rPr>
  </w:style>
  <w:style w:type="paragraph" w:styleId="FootnoteText">
    <w:name w:val="footnote text"/>
    <w:basedOn w:val="Normal"/>
    <w:link w:val="FootnoteTextChar"/>
    <w:uiPriority w:val="99"/>
    <w:unhideWhenUsed/>
    <w:rsid w:val="002B521C"/>
    <w:pPr>
      <w:spacing w:before="0" w:after="0"/>
      <w:jc w:val="both"/>
    </w:pPr>
    <w:rPr>
      <w:rFonts w:asciiTheme="minorHAnsi" w:eastAsiaTheme="minorHAnsi" w:hAnsiTheme="minorHAnsi" w:cs="Arial"/>
      <w:bCs/>
      <w:color w:val="auto"/>
      <w:sz w:val="20"/>
      <w:szCs w:val="20"/>
      <w:lang w:eastAsia="en-US"/>
    </w:rPr>
  </w:style>
  <w:style w:type="character" w:customStyle="1" w:styleId="FootnoteTextChar">
    <w:name w:val="Footnote Text Char"/>
    <w:basedOn w:val="DefaultParagraphFont"/>
    <w:link w:val="FootnoteText"/>
    <w:uiPriority w:val="99"/>
    <w:rsid w:val="002B521C"/>
    <w:rPr>
      <w:rFonts w:asciiTheme="minorHAnsi" w:eastAsiaTheme="minorHAnsi" w:hAnsiTheme="minorHAnsi" w:cs="Arial"/>
      <w:bCs/>
      <w:color w:val="auto"/>
      <w:sz w:val="20"/>
      <w:szCs w:val="20"/>
      <w:lang w:eastAsia="en-US"/>
    </w:rPr>
  </w:style>
  <w:style w:type="character" w:styleId="FootnoteReference">
    <w:name w:val="footnote reference"/>
    <w:basedOn w:val="DefaultParagraphFont"/>
    <w:uiPriority w:val="99"/>
    <w:semiHidden/>
    <w:unhideWhenUsed/>
    <w:rsid w:val="002B521C"/>
    <w:rPr>
      <w:vertAlign w:val="superscript"/>
    </w:rPr>
  </w:style>
  <w:style w:type="paragraph" w:styleId="CommentSubject">
    <w:name w:val="annotation subject"/>
    <w:basedOn w:val="CommentText"/>
    <w:next w:val="CommentText"/>
    <w:link w:val="CommentSubjectChar"/>
    <w:uiPriority w:val="99"/>
    <w:semiHidden/>
    <w:unhideWhenUsed/>
    <w:rsid w:val="00DA1264"/>
    <w:pPr>
      <w:spacing w:after="120"/>
    </w:pPr>
    <w:rPr>
      <w:rFonts w:ascii="Calibri" w:eastAsiaTheme="minorEastAsia" w:hAnsi="Calibri" w:cs="Calibri"/>
      <w:b/>
      <w:bCs/>
      <w:lang w:val="en-NZ" w:eastAsia="ko-KR"/>
    </w:rPr>
  </w:style>
  <w:style w:type="character" w:customStyle="1" w:styleId="CommentSubjectChar">
    <w:name w:val="Comment Subject Char"/>
    <w:basedOn w:val="CommentTextChar"/>
    <w:link w:val="CommentSubject"/>
    <w:uiPriority w:val="99"/>
    <w:semiHidden/>
    <w:rsid w:val="00DA1264"/>
    <w:rPr>
      <w:rFonts w:ascii="Times New Roman" w:eastAsia="Times New Roman" w:hAnsi="Times New Roman" w:cs="Times New Roman"/>
      <w:b/>
      <w:bCs/>
      <w:sz w:val="20"/>
      <w:szCs w:val="20"/>
      <w:lang w:val="en-US" w:eastAsia="en-NZ"/>
    </w:rPr>
  </w:style>
  <w:style w:type="paragraph" w:styleId="NormalWeb">
    <w:name w:val="Normal (Web)"/>
    <w:basedOn w:val="Normal"/>
    <w:uiPriority w:val="99"/>
    <w:semiHidden/>
    <w:unhideWhenUsed/>
    <w:rsid w:val="00062ED2"/>
    <w:pPr>
      <w:spacing w:before="100" w:beforeAutospacing="1" w:after="100" w:afterAutospacing="1"/>
    </w:pPr>
    <w:rPr>
      <w:rFonts w:ascii="Times New Roman" w:eastAsia="Times New Roman" w:hAnsi="Times New Roman" w:cs="Times New Roman"/>
      <w:color w:val="auto"/>
      <w:sz w:val="24"/>
      <w:lang w:eastAsia="en-NZ"/>
    </w:rPr>
  </w:style>
  <w:style w:type="character" w:customStyle="1" w:styleId="apple-converted-space">
    <w:name w:val="apple-converted-space"/>
    <w:basedOn w:val="DefaultParagraphFont"/>
    <w:rsid w:val="00062ED2"/>
  </w:style>
  <w:style w:type="character" w:styleId="Strong">
    <w:name w:val="Strong"/>
    <w:basedOn w:val="DefaultParagraphFont"/>
    <w:uiPriority w:val="22"/>
    <w:qFormat/>
    <w:rsid w:val="00062ED2"/>
    <w:rPr>
      <w:b/>
      <w:bCs/>
    </w:rPr>
  </w:style>
  <w:style w:type="paragraph" w:styleId="Revision">
    <w:name w:val="Revision"/>
    <w:hidden/>
    <w:uiPriority w:val="99"/>
    <w:semiHidden/>
    <w:rsid w:val="004E79C0"/>
    <w:pPr>
      <w:spacing w:before="0" w:after="0"/>
    </w:pPr>
  </w:style>
  <w:style w:type="table" w:styleId="TableGrid">
    <w:name w:val="Table Grid"/>
    <w:basedOn w:val="TableNormal"/>
    <w:uiPriority w:val="59"/>
    <w:rsid w:val="001A0E9F"/>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4553351">
      <w:bodyDiv w:val="1"/>
      <w:marLeft w:val="0"/>
      <w:marRight w:val="0"/>
      <w:marTop w:val="0"/>
      <w:marBottom w:val="0"/>
      <w:divBdr>
        <w:top w:val="none" w:sz="0" w:space="0" w:color="auto"/>
        <w:left w:val="none" w:sz="0" w:space="0" w:color="auto"/>
        <w:bottom w:val="none" w:sz="0" w:space="0" w:color="auto"/>
        <w:right w:val="none" w:sz="0" w:space="0" w:color="auto"/>
      </w:divBdr>
    </w:div>
    <w:div w:id="202231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B534E-DA47-431A-AD3D-0D7A49559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2183</Words>
  <Characters>12445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2017-02-22T18:53:00Z</dcterms:created>
  <dcterms:modified xsi:type="dcterms:W3CDTF">2017-02-22T18:53:00Z</dcterms:modified>
</cp:coreProperties>
</file>